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w:hAnsi="Aptos"/>
          <w:b/>
          <w:color w:val="1F4E79"/>
          <w:sz w:val="48"/>
        </w:rPr>
        <w:t>Masumi Hayakawa Strategic Communications Review</w:t>
      </w:r>
    </w:p>
    <w:p>
      <w:pPr>
        <w:jc w:val="center"/>
      </w:pPr>
      <w:r>
        <w:rPr>
          <w:rFonts w:ascii="Aptos" w:hAnsi="Aptos"/>
          <w:b w:val="0"/>
          <w:color w:val="505050"/>
          <w:sz w:val="24"/>
        </w:rPr>
        <w:t>15-page management briefing based on substantive 2026 communications</w:t>
      </w:r>
    </w:p>
    <w:p/>
    <w:tbl>
      <w:tblPr>
        <w:tblW w:type="auto" w:w="0"/>
        <w:jc w:val="center"/>
        <w:tblLook w:firstColumn="1" w:firstRow="1" w:lastColumn="0" w:lastRow="0" w:noHBand="0" w:noVBand="1" w:val="04A0"/>
      </w:tblPr>
      <w:tblGrid>
        <w:gridCol w:w="3389"/>
        <w:gridCol w:w="3389"/>
        <w:gridCol w:w="3389"/>
      </w:tblGrid>
      <w:tr>
        <w:tc>
          <w:tcPr>
            <w:tcW w:type="dxa" w:w="3389"/>
            <w:vAlign w:val="center"/>
            <w:shd w:fill="1F4E79"/>
          </w:tcPr>
          <w:p>
            <w:pPr>
              <w:spacing w:after="0"/>
            </w:pPr>
            <w:r/>
            <w:r>
              <w:rPr>
                <w:rFonts w:ascii="Aptos" w:hAnsi="Aptos"/>
                <w:b/>
                <w:color w:val="FFFFFF"/>
                <w:sz w:val="16"/>
              </w:rPr>
              <w:t>Prepared for</w:t>
            </w:r>
          </w:p>
        </w:tc>
        <w:tc>
          <w:tcPr>
            <w:tcW w:type="dxa" w:w="3389"/>
            <w:vAlign w:val="center"/>
            <w:shd w:fill="1F4E79"/>
          </w:tcPr>
          <w:p>
            <w:pPr>
              <w:spacing w:after="0"/>
            </w:pPr>
            <w:r/>
            <w:r>
              <w:rPr>
                <w:rFonts w:ascii="Aptos" w:hAnsi="Aptos"/>
                <w:b/>
                <w:color w:val="FFFFFF"/>
                <w:sz w:val="16"/>
              </w:rPr>
              <w:t>Prepared date</w:t>
            </w:r>
          </w:p>
        </w:tc>
        <w:tc>
          <w:tcPr>
            <w:tcW w:type="dxa" w:w="3389"/>
            <w:vAlign w:val="center"/>
            <w:shd w:fill="1F4E79"/>
          </w:tcPr>
          <w:p>
            <w:pPr>
              <w:spacing w:after="0"/>
            </w:pPr>
            <w:r/>
            <w:r>
              <w:rPr>
                <w:rFonts w:ascii="Aptos" w:hAnsi="Aptos"/>
                <w:b/>
                <w:color w:val="FFFFFF"/>
                <w:sz w:val="16"/>
              </w:rPr>
              <w:t>Basis</w:t>
            </w:r>
          </w:p>
        </w:tc>
      </w:tr>
      <w:tr>
        <w:tc>
          <w:tcPr>
            <w:tcW w:type="dxa" w:w="3389"/>
            <w:vAlign w:val="center"/>
          </w:tcPr>
          <w:p>
            <w:pPr>
              <w:spacing w:after="0"/>
            </w:pPr>
            <w:r/>
            <w:r>
              <w:rPr>
                <w:rFonts w:ascii="Aptos" w:hAnsi="Aptos"/>
                <w:b w:val="0"/>
                <w:sz w:val="16"/>
              </w:rPr>
              <w:t>Jerome Van Der Pluym</w:t>
            </w:r>
          </w:p>
        </w:tc>
        <w:tc>
          <w:tcPr>
            <w:tcW w:type="dxa" w:w="3389"/>
            <w:vAlign w:val="center"/>
          </w:tcPr>
          <w:p>
            <w:pPr>
              <w:spacing w:after="0"/>
            </w:pPr>
            <w:r/>
            <w:r>
              <w:rPr>
                <w:rFonts w:ascii="Aptos" w:hAnsi="Aptos"/>
                <w:b w:val="0"/>
                <w:sz w:val="16"/>
              </w:rPr>
              <w:t>30 July 2026</w:t>
            </w:r>
          </w:p>
        </w:tc>
        <w:tc>
          <w:tcPr>
            <w:tcW w:type="dxa" w:w="3389"/>
            <w:vAlign w:val="center"/>
          </w:tcPr>
          <w:p>
            <w:pPr>
              <w:spacing w:after="0"/>
            </w:pPr>
            <w:r/>
            <w:r>
              <w:rPr>
                <w:rFonts w:ascii="Aptos" w:hAnsi="Aptos"/>
                <w:b w:val="0"/>
                <w:sz w:val="16"/>
              </w:rPr>
              <w:t>Masumi emails, related meetings and files retrieved during this conversation</w:t>
            </w:r>
          </w:p>
        </w:tc>
      </w:tr>
      <w:tr>
        <w:tc>
          <w:tcPr>
            <w:tcW w:type="dxa" w:w="3389"/>
            <w:vAlign w:val="center"/>
          </w:tcPr>
          <w:p>
            <w:pPr>
              <w:spacing w:after="0"/>
            </w:pPr>
            <w:r/>
            <w:r>
              <w:rPr>
                <w:rFonts w:ascii="Aptos" w:hAnsi="Aptos"/>
                <w:b w:val="0"/>
                <w:sz w:val="16"/>
              </w:rPr>
              <w:t>Scope</w:t>
            </w:r>
          </w:p>
        </w:tc>
        <w:tc>
          <w:tcPr>
            <w:tcW w:type="dxa" w:w="3389"/>
            <w:vAlign w:val="center"/>
          </w:tcPr>
          <w:p>
            <w:pPr>
              <w:spacing w:after="0"/>
            </w:pPr>
            <w:r/>
            <w:r>
              <w:rPr>
                <w:rFonts w:ascii="Aptos" w:hAnsi="Aptos"/>
                <w:b w:val="0"/>
                <w:sz w:val="16"/>
              </w:rPr>
              <w:t>January-July 2026</w:t>
            </w:r>
          </w:p>
        </w:tc>
        <w:tc>
          <w:tcPr>
            <w:tcW w:type="dxa" w:w="3389"/>
            <w:vAlign w:val="center"/>
          </w:tcPr>
          <w:p>
            <w:pPr>
              <w:spacing w:after="0"/>
            </w:pPr>
            <w:r/>
            <w:r>
              <w:rPr>
                <w:rFonts w:ascii="Aptos" w:hAnsi="Aptos"/>
                <w:b w:val="0"/>
                <w:sz w:val="16"/>
              </w:rPr>
              <w:t>Strategic topics only: GPS, PMS, KPI, IDS/Kaizen, lubricants, incentives, long-term planning</w:t>
            </w:r>
          </w:p>
        </w:tc>
      </w:tr>
      <w:tr>
        <w:tc>
          <w:tcPr>
            <w:tcW w:type="dxa" w:w="3389"/>
            <w:vAlign w:val="center"/>
          </w:tcPr>
          <w:p>
            <w:pPr>
              <w:spacing w:after="0"/>
            </w:pPr>
            <w:r/>
            <w:r>
              <w:rPr>
                <w:rFonts w:ascii="Aptos" w:hAnsi="Aptos"/>
                <w:b w:val="0"/>
                <w:sz w:val="16"/>
              </w:rPr>
              <w:t>Limitation</w:t>
            </w:r>
          </w:p>
        </w:tc>
        <w:tc>
          <w:tcPr>
            <w:tcW w:type="dxa" w:w="3389"/>
            <w:vAlign w:val="center"/>
          </w:tcPr>
          <w:p>
            <w:pPr>
              <w:spacing w:after="0"/>
            </w:pPr>
            <w:r/>
            <w:r>
              <w:rPr>
                <w:rFonts w:ascii="Aptos" w:hAnsi="Aptos"/>
                <w:b w:val="0"/>
                <w:sz w:val="16"/>
              </w:rPr>
              <w:t>Source-limited</w:t>
            </w:r>
          </w:p>
        </w:tc>
        <w:tc>
          <w:tcPr>
            <w:tcW w:type="dxa" w:w="3389"/>
            <w:vAlign w:val="center"/>
          </w:tcPr>
          <w:p>
            <w:pPr>
              <w:spacing w:after="0"/>
            </w:pPr>
            <w:r/>
            <w:r>
              <w:rPr>
                <w:rFonts w:ascii="Aptos" w:hAnsi="Aptos"/>
                <w:b w:val="0"/>
                <w:sz w:val="16"/>
              </w:rPr>
              <w:t>Not a full legal mailbox audit; uses retrieved search/open content and explicitly identified source IDs</w:t>
            </w:r>
          </w:p>
        </w:tc>
      </w:tr>
    </w:tbl>
    <w:p/>
    <w:tbl>
      <w:tblPr>
        <w:tblW w:type="auto" w:w="0"/>
        <w:jc w:val="center"/>
        <w:tblLook w:firstColumn="1" w:firstRow="1" w:lastColumn="0" w:lastRow="0" w:noHBand="0" w:noVBand="1" w:val="04A0"/>
      </w:tblPr>
      <w:tblGrid>
        <w:gridCol w:w="10166"/>
      </w:tblGrid>
      <w:tr>
        <w:tc>
          <w:tcPr>
            <w:tcW w:type="dxa" w:w="10166"/>
            <w:shd w:fill="F3F8FC"/>
          </w:tcPr>
          <w:p>
            <w:pPr>
              <w:spacing w:after="60"/>
            </w:pPr>
            <w:r>
              <w:rPr>
                <w:rFonts w:ascii="Aptos" w:hAnsi="Aptos"/>
                <w:b/>
                <w:color w:val="1F4E79"/>
                <w:sz w:val="20"/>
              </w:rPr>
              <w:t>Purpose</w:t>
            </w:r>
          </w:p>
          <w:p>
            <w:pPr>
              <w:spacing w:after="40"/>
            </w:pPr>
            <w:r>
              <w:rPr>
                <w:rFonts w:ascii="Aptos" w:hAnsi="Aptos"/>
                <w:b w:val="0"/>
                <w:sz w:val="18"/>
              </w:rPr>
              <w:t>This document consolidates the main business direction in Masumi Hayakawa communications and separates strategic intent from execution risk. A separate key-contradictions report has also been created.</w:t>
            </w:r>
          </w:p>
        </w:tc>
      </w:tr>
    </w:tbl>
    <w:p/>
    <w:p>
      <w:r>
        <w:br w:type="page"/>
      </w:r>
    </w:p>
    <w:p>
      <w:pPr>
        <w:pStyle w:val="Heading1"/>
      </w:pPr>
      <w:r>
        <w:t>1. Executive Summary</w:t>
      </w:r>
    </w:p>
    <w:p>
      <w:pPr>
        <w:pStyle w:val="ListBullet"/>
        <w:spacing w:after="40"/>
      </w:pPr>
      <w:r>
        <w:rPr>
          <w:rFonts w:ascii="Aptos" w:hAnsi="Aptos"/>
          <w:b w:val="0"/>
          <w:sz w:val="20"/>
        </w:rPr>
        <w:t>The strongest strategic message is a shift from historic sales reporting to potential-based business planning, using UIO, GPS, distributor KPIs and sales-to-dealer data when available.</w:t>
      </w:r>
    </w:p>
    <w:p>
      <w:pPr>
        <w:pStyle w:val="ListBullet"/>
        <w:spacing w:after="40"/>
      </w:pPr>
      <w:r>
        <w:rPr>
          <w:rFonts w:ascii="Aptos" w:hAnsi="Aptos"/>
          <w:b w:val="0"/>
          <w:sz w:val="20"/>
        </w:rPr>
        <w:t>GPS is repeatedly treated as a central performance metric, but the calculation basis requires management confirmation because several possible data sources appear in the threads.</w:t>
      </w:r>
    </w:p>
    <w:p>
      <w:pPr>
        <w:pStyle w:val="ListBullet"/>
        <w:spacing w:after="40"/>
      </w:pPr>
      <w:r>
        <w:rPr>
          <w:rFonts w:ascii="Aptos" w:hAnsi="Aptos"/>
          <w:b w:val="0"/>
          <w:sz w:val="20"/>
        </w:rPr>
        <w:t>PMS developed from an ITUK-focused pilot into a broader growth and business-plan lever, with requests to quantify PMS inside GPS stretch amounts.</w:t>
      </w:r>
    </w:p>
    <w:p>
      <w:pPr>
        <w:pStyle w:val="ListBullet"/>
        <w:spacing w:after="40"/>
      </w:pPr>
      <w:r>
        <w:rPr>
          <w:rFonts w:ascii="Aptos" w:hAnsi="Aptos"/>
          <w:b w:val="0"/>
          <w:sz w:val="20"/>
        </w:rPr>
        <w:t>The lubricant project moved from survey and exploration toward UIO-based opportunity calculation and ISZE business-case development.</w:t>
      </w:r>
    </w:p>
    <w:p>
      <w:pPr>
        <w:pStyle w:val="ListBullet"/>
        <w:spacing w:after="40"/>
      </w:pPr>
      <w:r>
        <w:rPr>
          <w:rFonts w:ascii="Aptos" w:hAnsi="Aptos"/>
          <w:b w:val="0"/>
          <w:sz w:val="20"/>
        </w:rPr>
        <w:t>IDS and Kaizen work moved from evaluation and awards toward distributor-specific improvement actions, schedules and result tracking.</w:t>
      </w:r>
    </w:p>
    <w:p>
      <w:pPr>
        <w:pStyle w:val="ListBullet"/>
        <w:spacing w:after="40"/>
      </w:pPr>
      <w:r>
        <w:rPr>
          <w:rFonts w:ascii="Aptos" w:hAnsi="Aptos"/>
          <w:b w:val="0"/>
          <w:sz w:val="20"/>
        </w:rPr>
        <w:t>The main contradiction risk is methodology, not strategy: the intent is broadly consistent, while project execution rules changed over time.</w:t>
      </w:r>
    </w:p>
    <w:tbl>
      <w:tblPr>
        <w:tblW w:type="auto" w:w="0"/>
        <w:jc w:val="center"/>
        <w:tblLook w:firstColumn="1" w:firstRow="1" w:lastColumn="0" w:lastRow="0" w:noHBand="0" w:noVBand="1" w:val="04A0"/>
      </w:tblPr>
      <w:tblGrid>
        <w:gridCol w:w="10166"/>
      </w:tblGrid>
      <w:tr>
        <w:tc>
          <w:tcPr>
            <w:tcW w:type="dxa" w:w="10166"/>
            <w:shd w:fill="F3F8FC"/>
          </w:tcPr>
          <w:p>
            <w:pPr>
              <w:spacing w:after="60"/>
            </w:pPr>
            <w:r>
              <w:rPr>
                <w:rFonts w:ascii="Aptos" w:hAnsi="Aptos"/>
                <w:b/>
                <w:color w:val="1F4E79"/>
                <w:sz w:val="20"/>
              </w:rPr>
              <w:t>Management takeaway</w:t>
            </w:r>
          </w:p>
          <w:p>
            <w:pPr>
              <w:spacing w:after="40"/>
            </w:pPr>
            <w:r>
              <w:rPr>
                <w:rFonts w:ascii="Aptos" w:hAnsi="Aptos"/>
                <w:b w:val="0"/>
                <w:sz w:val="18"/>
              </w:rPr>
              <w:t>Before distributor conversations, the team should lock three items: GPS methodology, incentive evidence requirements and PMS target breakdown.</w:t>
            </w:r>
          </w:p>
        </w:tc>
      </w:tr>
    </w:tbl>
    <w:p/>
    <w:p>
      <w:r>
        <w:br w:type="page"/>
      </w:r>
    </w:p>
    <w:p>
      <w:pPr>
        <w:pStyle w:val="Heading1"/>
      </w:pPr>
      <w:r>
        <w:t>2. Evidence Base and Source Limitation</w:t>
      </w:r>
    </w:p>
    <w:p>
      <w:r>
        <w:rPr>
          <w:rFonts w:ascii="Aptos" w:hAnsi="Aptos"/>
          <w:b w:val="0"/>
          <w:sz w:val="20"/>
        </w:rPr>
        <w:t>The review is based on the Microsoft 365 results surfaced in this conversation. It includes email snippets, opened event transcripts and one opened file/trip report. It intentionally excludes routine scheduling and day-to-day operational messages where the content did not add strategic value.</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F4E79"/>
          </w:tcPr>
          <w:p>
            <w:pPr>
              <w:spacing w:after="0"/>
            </w:pPr>
            <w:r/>
            <w:r>
              <w:rPr>
                <w:rFonts w:ascii="Aptos" w:hAnsi="Aptos"/>
                <w:b/>
                <w:color w:val="FFFFFF"/>
                <w:sz w:val="16"/>
              </w:rPr>
              <w:t>Evidence category</w:t>
            </w:r>
          </w:p>
        </w:tc>
        <w:tc>
          <w:tcPr>
            <w:tcW w:type="dxa" w:w="3389"/>
            <w:vAlign w:val="center"/>
            <w:shd w:fill="1F4E79"/>
          </w:tcPr>
          <w:p>
            <w:pPr>
              <w:spacing w:after="0"/>
            </w:pPr>
            <w:r/>
            <w:r>
              <w:rPr>
                <w:rFonts w:ascii="Aptos" w:hAnsi="Aptos"/>
                <w:b/>
                <w:color w:val="FFFFFF"/>
                <w:sz w:val="16"/>
              </w:rPr>
              <w:t>Examples</w:t>
            </w:r>
          </w:p>
        </w:tc>
        <w:tc>
          <w:tcPr>
            <w:tcW w:type="dxa" w:w="3389"/>
            <w:vAlign w:val="center"/>
            <w:shd w:fill="1F4E79"/>
          </w:tcPr>
          <w:p>
            <w:pPr>
              <w:spacing w:after="0"/>
            </w:pPr>
            <w:r/>
            <w:r>
              <w:rPr>
                <w:rFonts w:ascii="Aptos" w:hAnsi="Aptos"/>
                <w:b/>
                <w:color w:val="FFFFFF"/>
                <w:sz w:val="16"/>
              </w:rPr>
              <w:t>Use in report</w:t>
            </w:r>
          </w:p>
        </w:tc>
      </w:tr>
      <w:tr>
        <w:tc>
          <w:tcPr>
            <w:tcW w:type="dxa" w:w="3389"/>
            <w:vAlign w:val="center"/>
          </w:tcPr>
          <w:p>
            <w:pPr>
              <w:spacing w:after="0"/>
            </w:pPr>
            <w:r/>
            <w:r>
              <w:rPr>
                <w:rFonts w:ascii="Aptos" w:hAnsi="Aptos"/>
                <w:b w:val="0"/>
                <w:sz w:val="16"/>
              </w:rPr>
              <w:t>Email threads</w:t>
            </w:r>
          </w:p>
        </w:tc>
        <w:tc>
          <w:tcPr>
            <w:tcW w:type="dxa" w:w="3389"/>
            <w:vAlign w:val="center"/>
          </w:tcPr>
          <w:p>
            <w:pPr>
              <w:spacing w:after="0"/>
            </w:pPr>
            <w:r/>
            <w:r>
              <w:rPr>
                <w:rFonts w:ascii="Aptos" w:hAnsi="Aptos"/>
                <w:b w:val="0"/>
                <w:sz w:val="16"/>
              </w:rPr>
              <w:t>GPS // Sales to dealer way, Minutes ITUK, KPI_targets, Centralised Purchasing - Lubricant</w:t>
            </w:r>
          </w:p>
        </w:tc>
        <w:tc>
          <w:tcPr>
            <w:tcW w:type="dxa" w:w="3389"/>
            <w:vAlign w:val="center"/>
          </w:tcPr>
          <w:p>
            <w:pPr>
              <w:spacing w:after="0"/>
            </w:pPr>
            <w:r/>
            <w:r>
              <w:rPr>
                <w:rFonts w:ascii="Aptos" w:hAnsi="Aptos"/>
                <w:b w:val="0"/>
                <w:sz w:val="16"/>
              </w:rPr>
              <w:t>Used to identify direction, actions and methodology changes</w:t>
            </w:r>
          </w:p>
        </w:tc>
      </w:tr>
      <w:tr>
        <w:tc>
          <w:tcPr>
            <w:tcW w:type="dxa" w:w="3389"/>
            <w:vAlign w:val="center"/>
          </w:tcPr>
          <w:p>
            <w:pPr>
              <w:spacing w:after="0"/>
            </w:pPr>
            <w:r/>
            <w:r>
              <w:rPr>
                <w:rFonts w:ascii="Aptos" w:hAnsi="Aptos"/>
                <w:b w:val="0"/>
                <w:sz w:val="16"/>
              </w:rPr>
              <w:t>Meeting transcripts</w:t>
            </w:r>
          </w:p>
        </w:tc>
        <w:tc>
          <w:tcPr>
            <w:tcW w:type="dxa" w:w="3389"/>
            <w:vAlign w:val="center"/>
          </w:tcPr>
          <w:p>
            <w:pPr>
              <w:spacing w:after="0"/>
            </w:pPr>
            <w:r/>
            <w:r>
              <w:rPr>
                <w:rFonts w:ascii="Aptos" w:hAnsi="Aptos"/>
                <w:b w:val="0"/>
                <w:sz w:val="16"/>
              </w:rPr>
              <w:t>GPS and KPI, GPS follow up, IDS Kaizen Proposal</w:t>
            </w:r>
          </w:p>
        </w:tc>
        <w:tc>
          <w:tcPr>
            <w:tcW w:type="dxa" w:w="3389"/>
            <w:vAlign w:val="center"/>
          </w:tcPr>
          <w:p>
            <w:pPr>
              <w:spacing w:after="0"/>
            </w:pPr>
            <w:r/>
            <w:r>
              <w:rPr>
                <w:rFonts w:ascii="Aptos" w:hAnsi="Aptos"/>
                <w:b w:val="0"/>
                <w:sz w:val="16"/>
              </w:rPr>
              <w:t>Used to validate timing, project concerns and action ownership</w:t>
            </w:r>
          </w:p>
        </w:tc>
      </w:tr>
      <w:tr>
        <w:tc>
          <w:tcPr>
            <w:tcW w:type="dxa" w:w="3389"/>
            <w:vAlign w:val="center"/>
          </w:tcPr>
          <w:p>
            <w:pPr>
              <w:spacing w:after="0"/>
            </w:pPr>
            <w:r/>
            <w:r>
              <w:rPr>
                <w:rFonts w:ascii="Aptos" w:hAnsi="Aptos"/>
                <w:b w:val="0"/>
                <w:sz w:val="16"/>
              </w:rPr>
              <w:t>Files</w:t>
            </w:r>
          </w:p>
        </w:tc>
        <w:tc>
          <w:tcPr>
            <w:tcW w:type="dxa" w:w="3389"/>
            <w:vAlign w:val="center"/>
          </w:tcPr>
          <w:p>
            <w:pPr>
              <w:spacing w:after="0"/>
            </w:pPr>
            <w:r/>
            <w:r>
              <w:rPr>
                <w:rFonts w:ascii="Aptos" w:hAnsi="Aptos"/>
                <w:b w:val="0"/>
                <w:sz w:val="16"/>
              </w:rPr>
              <w:t>ISZE_ITUK_PMS_TripReport_Apr2026</w:t>
            </w:r>
          </w:p>
        </w:tc>
        <w:tc>
          <w:tcPr>
            <w:tcW w:type="dxa" w:w="3389"/>
            <w:vAlign w:val="center"/>
          </w:tcPr>
          <w:p>
            <w:pPr>
              <w:spacing w:after="0"/>
            </w:pPr>
            <w:r/>
            <w:r>
              <w:rPr>
                <w:rFonts w:ascii="Aptos" w:hAnsi="Aptos"/>
                <w:b w:val="0"/>
                <w:sz w:val="16"/>
              </w:rPr>
              <w:t>Used for PMS/ITUK business context</w:t>
            </w:r>
          </w:p>
        </w:tc>
      </w:tr>
      <w:tr>
        <w:tc>
          <w:tcPr>
            <w:tcW w:type="dxa" w:w="3389"/>
            <w:vAlign w:val="center"/>
          </w:tcPr>
          <w:p>
            <w:pPr>
              <w:spacing w:after="0"/>
            </w:pPr>
            <w:r/>
            <w:r>
              <w:rPr>
                <w:rFonts w:ascii="Aptos" w:hAnsi="Aptos"/>
                <w:b w:val="0"/>
                <w:sz w:val="16"/>
              </w:rPr>
              <w:t>Metadata</w:t>
            </w:r>
          </w:p>
        </w:tc>
        <w:tc>
          <w:tcPr>
            <w:tcW w:type="dxa" w:w="3389"/>
            <w:vAlign w:val="center"/>
          </w:tcPr>
          <w:p>
            <w:pPr>
              <w:spacing w:after="0"/>
            </w:pPr>
            <w:r/>
            <w:r>
              <w:rPr>
                <w:rFonts w:ascii="Aptos" w:hAnsi="Aptos"/>
                <w:b w:val="0"/>
                <w:sz w:val="16"/>
              </w:rPr>
              <w:t>Meeting/event records and attachments</w:t>
            </w:r>
          </w:p>
        </w:tc>
        <w:tc>
          <w:tcPr>
            <w:tcW w:type="dxa" w:w="3389"/>
            <w:vAlign w:val="center"/>
          </w:tcPr>
          <w:p>
            <w:pPr>
              <w:spacing w:after="0"/>
            </w:pPr>
            <w:r/>
            <w:r>
              <w:rPr>
                <w:rFonts w:ascii="Aptos" w:hAnsi="Aptos"/>
                <w:b w:val="0"/>
                <w:sz w:val="16"/>
              </w:rPr>
              <w:t>Used only for context when full content was not available</w:t>
            </w:r>
          </w:p>
        </w:tc>
      </w:tr>
    </w:tbl>
    <w:p/>
    <w:tbl>
      <w:tblPr>
        <w:tblW w:type="auto" w:w="0"/>
        <w:jc w:val="center"/>
        <w:tblLook w:firstColumn="1" w:firstRow="1" w:lastColumn="0" w:lastRow="0" w:noHBand="0" w:noVBand="1" w:val="04A0"/>
      </w:tblPr>
      <w:tblGrid>
        <w:gridCol w:w="10166"/>
      </w:tblGrid>
      <w:tr>
        <w:tc>
          <w:tcPr>
            <w:tcW w:type="dxa" w:w="10166"/>
            <w:shd w:fill="F3F8FC"/>
          </w:tcPr>
          <w:p>
            <w:pPr>
              <w:spacing w:after="60"/>
            </w:pPr>
            <w:r>
              <w:rPr>
                <w:rFonts w:ascii="Aptos" w:hAnsi="Aptos"/>
                <w:b/>
                <w:color w:val="1F4E79"/>
                <w:sz w:val="20"/>
              </w:rPr>
              <w:t>Source discipline</w:t>
            </w:r>
          </w:p>
          <w:p>
            <w:pPr>
              <w:spacing w:after="40"/>
            </w:pPr>
            <w:r>
              <w:rPr>
                <w:rFonts w:ascii="Aptos" w:hAnsi="Aptos"/>
                <w:b w:val="0"/>
                <w:sz w:val="18"/>
              </w:rPr>
              <w:t>Where the source only gave a snippet, the report avoids claiming more than the snippet supports. Interpretations are labelled as management implications rather than direct facts.</w:t>
            </w:r>
          </w:p>
        </w:tc>
      </w:tr>
    </w:tbl>
    <w:p/>
    <w:p>
      <w:r>
        <w:br w:type="page"/>
      </w:r>
    </w:p>
    <w:p>
      <w:pPr>
        <w:pStyle w:val="Heading1"/>
      </w:pPr>
      <w:r>
        <w:t>3. Strategic Theme: Genuine Parts Share</w:t>
      </w:r>
    </w:p>
    <w:p>
      <w:r>
        <w:rPr>
          <w:rFonts w:ascii="Aptos" w:hAnsi="Aptos"/>
          <w:b w:val="0"/>
          <w:sz w:val="20"/>
        </w:rPr>
        <w:t>Masumi repeatedly frames Genuine Parts Share as the core way to understand market development. The GPS threads show requests for distributor sales targets to dealers, stretch amounts, sales potential and revised calculations using price increase assumptions.</w:t>
      </w:r>
    </w:p>
    <w:p>
      <w:pPr>
        <w:pStyle w:val="ListBullet"/>
        <w:spacing w:after="40"/>
      </w:pPr>
      <w:r>
        <w:rPr>
          <w:rFonts w:ascii="Aptos" w:hAnsi="Aptos"/>
          <w:b w:val="0"/>
          <w:sz w:val="20"/>
        </w:rPr>
        <w:t>FY2027 calculations were requested with a 5% price increase factored into parts sales per unit.</w:t>
      </w:r>
    </w:p>
    <w:p>
      <w:pPr>
        <w:pStyle w:val="ListBullet"/>
        <w:spacing w:after="40"/>
      </w:pPr>
      <w:r>
        <w:rPr>
          <w:rFonts w:ascii="Aptos" w:hAnsi="Aptos"/>
          <w:b w:val="0"/>
          <w:sz w:val="20"/>
        </w:rPr>
        <w:t>FY2028-FY2031 were requested with a 3% annual increase based on IML policy.</w:t>
      </w:r>
    </w:p>
    <w:p>
      <w:pPr>
        <w:pStyle w:val="ListBullet"/>
        <w:spacing w:after="40"/>
      </w:pPr>
      <w:r>
        <w:rPr>
          <w:rFonts w:ascii="Aptos" w:hAnsi="Aptos"/>
          <w:b w:val="0"/>
          <w:sz w:val="20"/>
        </w:rPr>
        <w:t>Work-in-progress files were considered acceptable where the purpose was management progress reporting.</w:t>
      </w:r>
    </w:p>
    <w:p>
      <w:pPr>
        <w:pStyle w:val="ListBullet"/>
        <w:spacing w:after="40"/>
      </w:pPr>
      <w:r>
        <w:rPr>
          <w:rFonts w:ascii="Aptos" w:hAnsi="Aptos"/>
          <w:b w:val="0"/>
          <w:sz w:val="20"/>
        </w:rPr>
        <w:t>The direction is to move away from simple sales history and toward a structured view of potential, demand and share.</w:t>
      </w:r>
    </w:p>
    <w:tbl>
      <w:tblPr>
        <w:tblW w:type="auto" w:w="0"/>
        <w:jc w:val="center"/>
        <w:tblLook w:firstColumn="1" w:firstRow="1" w:lastColumn="0" w:lastRow="0" w:noHBand="0" w:noVBand="1" w:val="04A0"/>
      </w:tblPr>
      <w:tblGrid>
        <w:gridCol w:w="10166"/>
      </w:tblGrid>
      <w:tr>
        <w:tc>
          <w:tcPr>
            <w:tcW w:type="dxa" w:w="10166"/>
            <w:shd w:fill="F3F8FC"/>
          </w:tcPr>
          <w:p>
            <w:pPr>
              <w:spacing w:after="60"/>
            </w:pPr>
            <w:r>
              <w:rPr>
                <w:rFonts w:ascii="Aptos" w:hAnsi="Aptos"/>
                <w:b/>
                <w:color w:val="1F4E79"/>
                <w:sz w:val="20"/>
              </w:rPr>
              <w:t>Risk</w:t>
            </w:r>
          </w:p>
          <w:p>
            <w:pPr>
              <w:spacing w:after="40"/>
            </w:pPr>
            <w:r>
              <w:rPr>
                <w:rFonts w:ascii="Aptos" w:hAnsi="Aptos"/>
                <w:b w:val="0"/>
                <w:sz w:val="18"/>
              </w:rPr>
              <w:t>GPS loses credibility if ITUK, UTI and other distributors are calculated using incompatible bases without clear explanation.</w:t>
            </w:r>
          </w:p>
        </w:tc>
      </w:tr>
    </w:tbl>
    <w:p/>
    <w:p>
      <w:r>
        <w:br w:type="page"/>
      </w:r>
    </w:p>
    <w:p>
      <w:pPr>
        <w:pStyle w:val="Heading1"/>
      </w:pPr>
      <w:r>
        <w:t>4. KPI and Distributor Target Governance</w:t>
      </w:r>
    </w:p>
    <w:p>
      <w:r>
        <w:rPr>
          <w:rFonts w:ascii="Aptos" w:hAnsi="Aptos"/>
          <w:b w:val="0"/>
          <w:sz w:val="20"/>
        </w:rPr>
        <w:t>KPI communications show strong pressure to keep distributor aftersales KPIs current and usable for business planning. The January KPI email requested urgent updates because the file had not been updated since November 2025, and later threads linked distributor KPIs to awards and FY2027 target setting.</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F4E79"/>
          </w:tcPr>
          <w:p>
            <w:pPr>
              <w:spacing w:after="0"/>
            </w:pPr>
            <w:r/>
            <w:r>
              <w:rPr>
                <w:rFonts w:ascii="Aptos" w:hAnsi="Aptos"/>
                <w:b/>
                <w:color w:val="FFFFFF"/>
                <w:sz w:val="16"/>
              </w:rPr>
              <w:t>KPI area</w:t>
            </w:r>
          </w:p>
        </w:tc>
        <w:tc>
          <w:tcPr>
            <w:tcW w:type="dxa" w:w="3389"/>
            <w:vAlign w:val="center"/>
            <w:shd w:fill="1F4E79"/>
          </w:tcPr>
          <w:p>
            <w:pPr>
              <w:spacing w:after="0"/>
            </w:pPr>
            <w:r/>
            <w:r>
              <w:rPr>
                <w:rFonts w:ascii="Aptos" w:hAnsi="Aptos"/>
                <w:b/>
                <w:color w:val="FFFFFF"/>
                <w:sz w:val="16"/>
              </w:rPr>
              <w:t>Management use</w:t>
            </w:r>
          </w:p>
        </w:tc>
        <w:tc>
          <w:tcPr>
            <w:tcW w:type="dxa" w:w="3389"/>
            <w:vAlign w:val="center"/>
            <w:shd w:fill="1F4E79"/>
          </w:tcPr>
          <w:p>
            <w:pPr>
              <w:spacing w:after="0"/>
            </w:pPr>
            <w:r/>
            <w:r>
              <w:rPr>
                <w:rFonts w:ascii="Aptos" w:hAnsi="Aptos"/>
                <w:b/>
                <w:color w:val="FFFFFF"/>
                <w:sz w:val="16"/>
              </w:rPr>
              <w:t>Issue to control</w:t>
            </w:r>
          </w:p>
        </w:tc>
      </w:tr>
      <w:tr>
        <w:tc>
          <w:tcPr>
            <w:tcW w:type="dxa" w:w="3389"/>
            <w:vAlign w:val="center"/>
          </w:tcPr>
          <w:p>
            <w:pPr>
              <w:spacing w:after="0"/>
            </w:pPr>
            <w:r/>
            <w:r>
              <w:rPr>
                <w:rFonts w:ascii="Aptos" w:hAnsi="Aptos"/>
                <w:b w:val="0"/>
                <w:sz w:val="16"/>
              </w:rPr>
              <w:t>Fill rate</w:t>
            </w:r>
          </w:p>
        </w:tc>
        <w:tc>
          <w:tcPr>
            <w:tcW w:type="dxa" w:w="3389"/>
            <w:vAlign w:val="center"/>
          </w:tcPr>
          <w:p>
            <w:pPr>
              <w:spacing w:after="0"/>
            </w:pPr>
            <w:r/>
            <w:r>
              <w:rPr>
                <w:rFonts w:ascii="Aptos" w:hAnsi="Aptos"/>
                <w:b w:val="0"/>
                <w:sz w:val="16"/>
              </w:rPr>
              <w:t>Distributor target and award criterion</w:t>
            </w:r>
          </w:p>
        </w:tc>
        <w:tc>
          <w:tcPr>
            <w:tcW w:type="dxa" w:w="3389"/>
            <w:vAlign w:val="center"/>
          </w:tcPr>
          <w:p>
            <w:pPr>
              <w:spacing w:after="0"/>
            </w:pPr>
            <w:r/>
            <w:r>
              <w:rPr>
                <w:rFonts w:ascii="Aptos" w:hAnsi="Aptos"/>
                <w:b w:val="0"/>
                <w:sz w:val="16"/>
              </w:rPr>
              <w:t>Missing months and different data coverage</w:t>
            </w:r>
          </w:p>
        </w:tc>
      </w:tr>
      <w:tr>
        <w:tc>
          <w:tcPr>
            <w:tcW w:type="dxa" w:w="3389"/>
            <w:vAlign w:val="center"/>
          </w:tcPr>
          <w:p>
            <w:pPr>
              <w:spacing w:after="0"/>
            </w:pPr>
            <w:r/>
            <w:r>
              <w:rPr>
                <w:rFonts w:ascii="Aptos" w:hAnsi="Aptos"/>
                <w:b w:val="0"/>
                <w:sz w:val="16"/>
              </w:rPr>
              <w:t>Parts sales DB to dealer</w:t>
            </w:r>
          </w:p>
        </w:tc>
        <w:tc>
          <w:tcPr>
            <w:tcW w:type="dxa" w:w="3389"/>
            <w:vAlign w:val="center"/>
          </w:tcPr>
          <w:p>
            <w:pPr>
              <w:spacing w:after="0"/>
            </w:pPr>
            <w:r/>
            <w:r>
              <w:rPr>
                <w:rFonts w:ascii="Aptos" w:hAnsi="Aptos"/>
                <w:b w:val="0"/>
                <w:sz w:val="16"/>
              </w:rPr>
              <w:t>GPS and downstream market activity</w:t>
            </w:r>
          </w:p>
        </w:tc>
        <w:tc>
          <w:tcPr>
            <w:tcW w:type="dxa" w:w="3389"/>
            <w:vAlign w:val="center"/>
          </w:tcPr>
          <w:p>
            <w:pPr>
              <w:spacing w:after="0"/>
            </w:pPr>
            <w:r/>
            <w:r>
              <w:rPr>
                <w:rFonts w:ascii="Aptos" w:hAnsi="Aptos"/>
                <w:b w:val="0"/>
                <w:sz w:val="16"/>
              </w:rPr>
              <w:t>May not exist consistently for all distributors</w:t>
            </w:r>
          </w:p>
        </w:tc>
      </w:tr>
      <w:tr>
        <w:tc>
          <w:tcPr>
            <w:tcW w:type="dxa" w:w="3389"/>
            <w:vAlign w:val="center"/>
          </w:tcPr>
          <w:p>
            <w:pPr>
              <w:spacing w:after="0"/>
            </w:pPr>
            <w:r/>
            <w:r>
              <w:rPr>
                <w:rFonts w:ascii="Aptos" w:hAnsi="Aptos"/>
                <w:b w:val="0"/>
                <w:sz w:val="16"/>
              </w:rPr>
              <w:t>MOS / stock days</w:t>
            </w:r>
          </w:p>
        </w:tc>
        <w:tc>
          <w:tcPr>
            <w:tcW w:type="dxa" w:w="3389"/>
            <w:vAlign w:val="center"/>
          </w:tcPr>
          <w:p>
            <w:pPr>
              <w:spacing w:after="0"/>
            </w:pPr>
            <w:r/>
            <w:r>
              <w:rPr>
                <w:rFonts w:ascii="Aptos" w:hAnsi="Aptos"/>
                <w:b w:val="0"/>
                <w:sz w:val="16"/>
              </w:rPr>
              <w:t>Inventory and supply chain discipline</w:t>
            </w:r>
          </w:p>
        </w:tc>
        <w:tc>
          <w:tcPr>
            <w:tcW w:type="dxa" w:w="3389"/>
            <w:vAlign w:val="center"/>
          </w:tcPr>
          <w:p>
            <w:pPr>
              <w:spacing w:after="0"/>
            </w:pPr>
            <w:r/>
            <w:r>
              <w:rPr>
                <w:rFonts w:ascii="Aptos" w:hAnsi="Aptos"/>
                <w:b w:val="0"/>
                <w:sz w:val="16"/>
              </w:rPr>
              <w:t>Needs direct distributor context</w:t>
            </w:r>
          </w:p>
        </w:tc>
      </w:tr>
      <w:tr>
        <w:tc>
          <w:tcPr>
            <w:tcW w:type="dxa" w:w="3389"/>
            <w:vAlign w:val="center"/>
          </w:tcPr>
          <w:p>
            <w:pPr>
              <w:spacing w:after="0"/>
            </w:pPr>
            <w:r/>
            <w:r>
              <w:rPr>
                <w:rFonts w:ascii="Aptos" w:hAnsi="Aptos"/>
                <w:b w:val="0"/>
                <w:sz w:val="16"/>
              </w:rPr>
              <w:t>Back-order lines</w:t>
            </w:r>
          </w:p>
        </w:tc>
        <w:tc>
          <w:tcPr>
            <w:tcW w:type="dxa" w:w="3389"/>
            <w:vAlign w:val="center"/>
          </w:tcPr>
          <w:p>
            <w:pPr>
              <w:spacing w:after="0"/>
            </w:pPr>
            <w:r/>
            <w:r>
              <w:rPr>
                <w:rFonts w:ascii="Aptos" w:hAnsi="Aptos"/>
                <w:b w:val="0"/>
                <w:sz w:val="16"/>
              </w:rPr>
              <w:t>Supply reliability and service performance</w:t>
            </w:r>
          </w:p>
        </w:tc>
        <w:tc>
          <w:tcPr>
            <w:tcW w:type="dxa" w:w="3389"/>
            <w:vAlign w:val="center"/>
          </w:tcPr>
          <w:p>
            <w:pPr>
              <w:spacing w:after="0"/>
            </w:pPr>
            <w:r/>
            <w:r>
              <w:rPr>
                <w:rFonts w:ascii="Aptos" w:hAnsi="Aptos"/>
                <w:b w:val="0"/>
                <w:sz w:val="16"/>
              </w:rPr>
              <w:t>Must be interpreted alongside demand and logistics</w:t>
            </w:r>
          </w:p>
        </w:tc>
      </w:tr>
      <w:tr>
        <w:tc>
          <w:tcPr>
            <w:tcW w:type="dxa" w:w="3389"/>
            <w:vAlign w:val="center"/>
          </w:tcPr>
          <w:p>
            <w:pPr>
              <w:spacing w:after="0"/>
            </w:pPr>
            <w:r/>
            <w:r>
              <w:rPr>
                <w:rFonts w:ascii="Aptos" w:hAnsi="Aptos"/>
                <w:b w:val="0"/>
                <w:sz w:val="16"/>
              </w:rPr>
              <w:t>Contracts / campaigns</w:t>
            </w:r>
          </w:p>
        </w:tc>
        <w:tc>
          <w:tcPr>
            <w:tcW w:type="dxa" w:w="3389"/>
            <w:vAlign w:val="center"/>
          </w:tcPr>
          <w:p>
            <w:pPr>
              <w:spacing w:after="0"/>
            </w:pPr>
            <w:r/>
            <w:r>
              <w:rPr>
                <w:rFonts w:ascii="Aptos" w:hAnsi="Aptos"/>
                <w:b w:val="0"/>
                <w:sz w:val="16"/>
              </w:rPr>
              <w:t>Distributor performance evidence</w:t>
            </w:r>
          </w:p>
        </w:tc>
        <w:tc>
          <w:tcPr>
            <w:tcW w:type="dxa" w:w="3389"/>
            <w:vAlign w:val="center"/>
          </w:tcPr>
          <w:p>
            <w:pPr>
              <w:spacing w:after="0"/>
            </w:pPr>
            <w:r/>
            <w:r>
              <w:rPr>
                <w:rFonts w:ascii="Aptos" w:hAnsi="Aptos"/>
                <w:b w:val="0"/>
                <w:sz w:val="16"/>
              </w:rPr>
              <w:t>Criteria must be defined before award communication</w:t>
            </w:r>
          </w:p>
        </w:tc>
      </w:tr>
    </w:tbl>
    <w:p/>
    <w:p>
      <w:r>
        <w:br w:type="page"/>
      </w:r>
    </w:p>
    <w:p>
      <w:pPr>
        <w:pStyle w:val="Heading1"/>
      </w:pPr>
      <w:r>
        <w:t>5. PMS Programme: From Pilot to Growth Lever</w:t>
      </w:r>
    </w:p>
    <w:p>
      <w:r>
        <w:rPr>
          <w:rFonts w:ascii="Aptos" w:hAnsi="Aptos"/>
          <w:b w:val="0"/>
          <w:sz w:val="20"/>
        </w:rPr>
        <w:t>PMS is one of the most frequently recurring programmes. The April ITUK work focused on UIO, maintenance assumptions and parts sales potential. By July, the discussion included ITUK GPS stretch, PMS amounts within GPS, target quantity/amount agreement and MD approval preparation.</w:t>
      </w:r>
    </w:p>
    <w:p>
      <w:pPr>
        <w:pStyle w:val="ListBullet"/>
        <w:spacing w:after="40"/>
      </w:pPr>
      <w:r>
        <w:rPr>
          <w:rFonts w:ascii="Aptos" w:hAnsi="Aptos"/>
          <w:b w:val="0"/>
          <w:sz w:val="20"/>
        </w:rPr>
        <w:t>Early focus: ITUK modelling, dealer visits, real-world maintenance assumptions and data availability.</w:t>
      </w:r>
    </w:p>
    <w:p>
      <w:pPr>
        <w:pStyle w:val="ListBullet"/>
        <w:spacing w:after="40"/>
      </w:pPr>
      <w:r>
        <w:rPr>
          <w:rFonts w:ascii="Aptos" w:hAnsi="Aptos"/>
          <w:b w:val="0"/>
          <w:sz w:val="20"/>
        </w:rPr>
        <w:t>Later focus: target values, SPA support, MD approval timing and separation of PMS within GPS stretch.</w:t>
      </w:r>
    </w:p>
    <w:p>
      <w:pPr>
        <w:pStyle w:val="ListBullet"/>
        <w:spacing w:after="40"/>
      </w:pPr>
      <w:r>
        <w:rPr>
          <w:rFonts w:ascii="Aptos" w:hAnsi="Aptos"/>
          <w:b w:val="0"/>
          <w:sz w:val="20"/>
        </w:rPr>
        <w:t>Programme implication: PMS is no longer only a technical parts exercise. It is part of the business-plan growth mechanism.</w:t>
      </w:r>
    </w:p>
    <w:p>
      <w:pPr>
        <w:pStyle w:val="ListBullet"/>
        <w:spacing w:after="40"/>
      </w:pPr>
      <w:r>
        <w:rPr>
          <w:rFonts w:ascii="Aptos" w:hAnsi="Aptos"/>
          <w:b w:val="0"/>
          <w:sz w:val="20"/>
        </w:rPr>
        <w:t>Control implication: PMS scope and ownership must be defined per distributor to avoid overloading the same people.</w:t>
      </w:r>
    </w:p>
    <w:p>
      <w:r>
        <w:br w:type="page"/>
      </w:r>
    </w:p>
    <w:p>
      <w:pPr>
        <w:pStyle w:val="Heading1"/>
      </w:pPr>
      <w:r>
        <w:t>6. ITUK PMS and GPS Details</w:t>
      </w:r>
    </w:p>
    <w:p>
      <w:r>
        <w:rPr>
          <w:rFonts w:ascii="Aptos" w:hAnsi="Aptos"/>
          <w:b w:val="0"/>
          <w:sz w:val="20"/>
        </w:rPr>
        <w:t>ITUK appears as the most developed PMS use case. The evidence includes the April trip report, wrap-up PMS documentation and July emails about an IML/ITUK meeting in August. The ITUK material references UIO, parts sales per unit, share increase and stretch amounts.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F4E79"/>
          </w:tcPr>
          <w:p>
            <w:pPr>
              <w:spacing w:after="0"/>
            </w:pPr>
            <w:r/>
            <w:r>
              <w:rPr>
                <w:rFonts w:ascii="Aptos" w:hAnsi="Aptos"/>
                <w:b/>
                <w:color w:val="FFFFFF"/>
                <w:sz w:val="16"/>
              </w:rPr>
              <w:t>Item</w:t>
            </w:r>
          </w:p>
        </w:tc>
        <w:tc>
          <w:tcPr>
            <w:tcW w:type="dxa" w:w="3389"/>
            <w:vAlign w:val="center"/>
            <w:shd w:fill="1F4E79"/>
          </w:tcPr>
          <w:p>
            <w:pPr>
              <w:spacing w:after="0"/>
            </w:pPr>
            <w:r/>
            <w:r>
              <w:rPr>
                <w:rFonts w:ascii="Aptos" w:hAnsi="Aptos"/>
                <w:b/>
                <w:color w:val="FFFFFF"/>
                <w:sz w:val="16"/>
              </w:rPr>
              <w:t>Available figure / point</w:t>
            </w:r>
          </w:p>
        </w:tc>
        <w:tc>
          <w:tcPr>
            <w:tcW w:type="dxa" w:w="3389"/>
            <w:vAlign w:val="center"/>
            <w:shd w:fill="1F4E79"/>
          </w:tcPr>
          <w:p>
            <w:pPr>
              <w:spacing w:after="0"/>
            </w:pPr>
            <w:r/>
            <w:r>
              <w:rPr>
                <w:rFonts w:ascii="Aptos" w:hAnsi="Aptos"/>
                <w:b/>
                <w:color w:val="FFFFFF"/>
                <w:sz w:val="16"/>
              </w:rPr>
              <w:t>Use</w:t>
            </w:r>
          </w:p>
        </w:tc>
      </w:tr>
      <w:tr>
        <w:tc>
          <w:tcPr>
            <w:tcW w:type="dxa" w:w="3389"/>
            <w:vAlign w:val="center"/>
          </w:tcPr>
          <w:p>
            <w:pPr>
              <w:spacing w:after="0"/>
            </w:pPr>
            <w:r/>
            <w:r>
              <w:rPr>
                <w:rFonts w:ascii="Aptos" w:hAnsi="Aptos"/>
                <w:b w:val="0"/>
                <w:sz w:val="16"/>
              </w:rPr>
              <w:t>ITUK GPS stretch</w:t>
            </w:r>
          </w:p>
        </w:tc>
        <w:tc>
          <w:tcPr>
            <w:tcW w:type="dxa" w:w="3389"/>
            <w:vAlign w:val="center"/>
          </w:tcPr>
          <w:p>
            <w:pPr>
              <w:spacing w:after="0"/>
            </w:pPr>
            <w:r/>
            <w:r>
              <w:rPr>
                <w:rFonts w:ascii="Aptos" w:hAnsi="Aptos"/>
                <w:b w:val="0"/>
                <w:sz w:val="16"/>
              </w:rPr>
              <w:t>508,758 GBP in Masumi email</w:t>
            </w:r>
          </w:p>
        </w:tc>
        <w:tc>
          <w:tcPr>
            <w:tcW w:type="dxa" w:w="3389"/>
            <w:vAlign w:val="center"/>
          </w:tcPr>
          <w:p>
            <w:pPr>
              <w:spacing w:after="0"/>
            </w:pPr>
            <w:r/>
            <w:r>
              <w:rPr>
                <w:rFonts w:ascii="Aptos" w:hAnsi="Aptos"/>
                <w:b w:val="0"/>
                <w:sz w:val="16"/>
              </w:rPr>
              <w:t>Distributor network stretch reference</w:t>
            </w:r>
          </w:p>
        </w:tc>
      </w:tr>
      <w:tr>
        <w:tc>
          <w:tcPr>
            <w:tcW w:type="dxa" w:w="3389"/>
            <w:vAlign w:val="center"/>
          </w:tcPr>
          <w:p>
            <w:pPr>
              <w:spacing w:after="0"/>
            </w:pPr>
            <w:r/>
            <w:r>
              <w:rPr>
                <w:rFonts w:ascii="Aptos" w:hAnsi="Aptos"/>
                <w:b w:val="0"/>
                <w:sz w:val="16"/>
              </w:rPr>
              <w:t>ISZE GPS stretch for ITUK</w:t>
            </w:r>
          </w:p>
        </w:tc>
        <w:tc>
          <w:tcPr>
            <w:tcW w:type="dxa" w:w="3389"/>
            <w:vAlign w:val="center"/>
          </w:tcPr>
          <w:p>
            <w:pPr>
              <w:spacing w:after="0"/>
            </w:pPr>
            <w:r/>
            <w:r>
              <w:rPr>
                <w:rFonts w:ascii="Aptos" w:hAnsi="Aptos"/>
                <w:b w:val="0"/>
                <w:sz w:val="16"/>
              </w:rPr>
              <w:t>376,074 EUR in Masumi email</w:t>
            </w:r>
          </w:p>
        </w:tc>
        <w:tc>
          <w:tcPr>
            <w:tcW w:type="dxa" w:w="3389"/>
            <w:vAlign w:val="center"/>
          </w:tcPr>
          <w:p>
            <w:pPr>
              <w:spacing w:after="0"/>
            </w:pPr>
            <w:r/>
            <w:r>
              <w:rPr>
                <w:rFonts w:ascii="Aptos" w:hAnsi="Aptos"/>
                <w:b w:val="0"/>
                <w:sz w:val="16"/>
              </w:rPr>
              <w:t>ISZE sales impact reference</w:t>
            </w:r>
          </w:p>
        </w:tc>
      </w:tr>
      <w:tr>
        <w:tc>
          <w:tcPr>
            <w:tcW w:type="dxa" w:w="3389"/>
            <w:vAlign w:val="center"/>
          </w:tcPr>
          <w:p>
            <w:pPr>
              <w:spacing w:after="0"/>
            </w:pPr>
            <w:r/>
            <w:r>
              <w:rPr>
                <w:rFonts w:ascii="Aptos" w:hAnsi="Aptos"/>
                <w:b w:val="0"/>
                <w:sz w:val="16"/>
              </w:rPr>
              <w:t>PMS within GPS</w:t>
            </w:r>
          </w:p>
        </w:tc>
        <w:tc>
          <w:tcPr>
            <w:tcW w:type="dxa" w:w="3389"/>
            <w:vAlign w:val="center"/>
          </w:tcPr>
          <w:p>
            <w:pPr>
              <w:spacing w:after="0"/>
            </w:pPr>
            <w:r/>
            <w:r>
              <w:rPr>
                <w:rFonts w:ascii="Aptos" w:hAnsi="Aptos"/>
                <w:b w:val="0"/>
                <w:sz w:val="16"/>
              </w:rPr>
              <w:t>XXX GBP / XXX EUR requested</w:t>
            </w:r>
          </w:p>
        </w:tc>
        <w:tc>
          <w:tcPr>
            <w:tcW w:type="dxa" w:w="3389"/>
            <w:vAlign w:val="center"/>
          </w:tcPr>
          <w:p>
            <w:pPr>
              <w:spacing w:after="0"/>
            </w:pPr>
            <w:r/>
            <w:r>
              <w:rPr>
                <w:rFonts w:ascii="Aptos" w:hAnsi="Aptos"/>
                <w:b w:val="0"/>
                <w:sz w:val="16"/>
              </w:rPr>
              <w:t>Needs breakdown before approval</w:t>
            </w:r>
          </w:p>
        </w:tc>
      </w:tr>
      <w:tr>
        <w:tc>
          <w:tcPr>
            <w:tcW w:type="dxa" w:w="3389"/>
            <w:vAlign w:val="center"/>
          </w:tcPr>
          <w:p>
            <w:pPr>
              <w:spacing w:after="0"/>
            </w:pPr>
            <w:r/>
            <w:r>
              <w:rPr>
                <w:rFonts w:ascii="Aptos" w:hAnsi="Aptos"/>
                <w:b w:val="0"/>
                <w:sz w:val="16"/>
              </w:rPr>
              <w:t>Target quantity and amount</w:t>
            </w:r>
          </w:p>
        </w:tc>
        <w:tc>
          <w:tcPr>
            <w:tcW w:type="dxa" w:w="3389"/>
            <w:vAlign w:val="center"/>
          </w:tcPr>
          <w:p>
            <w:pPr>
              <w:spacing w:after="0"/>
            </w:pPr>
            <w:r/>
            <w:r>
              <w:rPr>
                <w:rFonts w:ascii="Aptos" w:hAnsi="Aptos"/>
                <w:b w:val="0"/>
                <w:sz w:val="16"/>
              </w:rPr>
              <w:t>To be agreed after ITUK consumption basis confirmation</w:t>
            </w:r>
          </w:p>
        </w:tc>
        <w:tc>
          <w:tcPr>
            <w:tcW w:type="dxa" w:w="3389"/>
            <w:vAlign w:val="center"/>
          </w:tcPr>
          <w:p>
            <w:pPr>
              <w:spacing w:after="0"/>
            </w:pPr>
            <w:r/>
            <w:r>
              <w:rPr>
                <w:rFonts w:ascii="Aptos" w:hAnsi="Aptos"/>
                <w:b w:val="0"/>
                <w:sz w:val="16"/>
              </w:rPr>
              <w:t>Decision gate before MD approval</w:t>
            </w:r>
          </w:p>
        </w:tc>
      </w:tr>
    </w:tbl>
    <w:p/>
    <w:tbl>
      <w:tblPr>
        <w:tblW w:type="auto" w:w="0"/>
        <w:jc w:val="center"/>
        <w:tblLook w:firstColumn="1" w:firstRow="1" w:lastColumn="0" w:lastRow="0" w:noHBand="0" w:noVBand="1" w:val="04A0"/>
      </w:tblPr>
      <w:tblGrid>
        <w:gridCol w:w="10166"/>
      </w:tblGrid>
      <w:tr>
        <w:tc>
          <w:tcPr>
            <w:tcW w:type="dxa" w:w="10166"/>
            <w:shd w:fill="F3F8FC"/>
          </w:tcPr>
          <w:p>
            <w:pPr>
              <w:spacing w:after="60"/>
            </w:pPr>
            <w:r>
              <w:rPr>
                <w:rFonts w:ascii="Aptos" w:hAnsi="Aptos"/>
                <w:b/>
                <w:color w:val="1F4E79"/>
                <w:sz w:val="20"/>
              </w:rPr>
              <w:t>Important</w:t>
            </w:r>
          </w:p>
          <w:p>
            <w:pPr>
              <w:spacing w:after="40"/>
            </w:pPr>
            <w:r>
              <w:rPr>
                <w:rFonts w:ascii="Aptos" w:hAnsi="Aptos"/>
                <w:b w:val="0"/>
                <w:sz w:val="18"/>
              </w:rPr>
              <w:t>The PMS amount must be separated visibly from the overall GPS stretch to avoid mixing PMS, SPA and other support mechanisms.</w:t>
            </w:r>
          </w:p>
        </w:tc>
      </w:tr>
    </w:tbl>
    <w:p/>
    <w:p>
      <w:r>
        <w:br w:type="page"/>
      </w:r>
    </w:p>
    <w:p>
      <w:pPr>
        <w:pStyle w:val="Heading1"/>
      </w:pPr>
      <w:r>
        <w:t>7. Lubricant Project</w:t>
      </w:r>
    </w:p>
    <w:p>
      <w:r>
        <w:rPr>
          <w:rFonts w:ascii="Aptos" w:hAnsi="Aptos"/>
          <w:b w:val="0"/>
          <w:sz w:val="20"/>
        </w:rPr>
        <w:t>The lubricant project starts as a centralised purchasing project and survey exercise. Masumi asks for packaging modes, distributor/dealer business distinction, stock ownership, missing distributors and ISZE genuine product results. Later she asks for UIO/demand potential and revenue/profit opportunity.</w:t>
      </w:r>
    </w:p>
    <w:p>
      <w:pPr>
        <w:pStyle w:val="ListBullet"/>
        <w:spacing w:after="40"/>
      </w:pPr>
      <w:r>
        <w:rPr>
          <w:rFonts w:ascii="Aptos" w:hAnsi="Aptos"/>
          <w:b w:val="0"/>
          <w:sz w:val="20"/>
        </w:rPr>
        <w:t>The project began with information gathering and distributor survey work.</w:t>
      </w:r>
    </w:p>
    <w:p>
      <w:pPr>
        <w:pStyle w:val="ListBullet"/>
        <w:spacing w:after="40"/>
      </w:pPr>
      <w:r>
        <w:rPr>
          <w:rFonts w:ascii="Aptos" w:hAnsi="Aptos"/>
          <w:b w:val="0"/>
          <w:sz w:val="20"/>
        </w:rPr>
        <w:t>The emphasis later moved to opportunity sizing: UIO, demand potential, revenue and profit.</w:t>
      </w:r>
    </w:p>
    <w:p>
      <w:pPr>
        <w:pStyle w:val="ListBullet"/>
        <w:spacing w:after="40"/>
      </w:pPr>
      <w:r>
        <w:rPr>
          <w:rFonts w:ascii="Aptos" w:hAnsi="Aptos"/>
          <w:b w:val="0"/>
          <w:sz w:val="20"/>
        </w:rPr>
        <w:t>The management expectation appears to shift from “collect feedback” to “prepare business case”.</w:t>
      </w:r>
    </w:p>
    <w:p>
      <w:pPr>
        <w:pStyle w:val="ListBullet"/>
        <w:spacing w:after="40"/>
      </w:pPr>
      <w:r>
        <w:rPr>
          <w:rFonts w:ascii="Aptos" w:hAnsi="Aptos"/>
          <w:b w:val="0"/>
          <w:sz w:val="20"/>
        </w:rPr>
        <w:t>The team should define current phase and owner to avoid Japan/ISZE misunderstanding.</w:t>
      </w:r>
    </w:p>
    <w:p>
      <w:r>
        <w:br w:type="page"/>
      </w:r>
    </w:p>
    <w:p>
      <w:pPr>
        <w:pStyle w:val="Heading1"/>
      </w:pPr>
      <w:r>
        <w:t>8. Distributor Incentives and Support Funds</w:t>
      </w:r>
    </w:p>
    <w:p>
      <w:r>
        <w:rPr>
          <w:rFonts w:ascii="Aptos" w:hAnsi="Aptos"/>
          <w:b w:val="0"/>
          <w:sz w:val="20"/>
        </w:rPr>
        <w:t>The incentive MOU thread is strategically important. Masumi asks how distributors use support money and whether incentives drive retail sales. She flags front-loading and inventory shifting as risks and states that incentives should be linked not only to distributor purchase amount but also to their sales amount.</w:t>
      </w:r>
    </w:p>
    <w:tbl>
      <w:tblPr>
        <w:tblW w:type="auto" w:w="0"/>
        <w:jc w:val="center"/>
        <w:tblLook w:firstColumn="1" w:firstRow="1" w:lastColumn="0" w:lastRow="0" w:noHBand="0" w:noVBand="1" w:val="04A0"/>
      </w:tblPr>
      <w:tblGrid>
        <w:gridCol w:w="10166"/>
      </w:tblGrid>
      <w:tr>
        <w:tc>
          <w:tcPr>
            <w:tcW w:type="dxa" w:w="10166"/>
            <w:shd w:fill="FFF2CC"/>
          </w:tcPr>
          <w:p>
            <w:pPr>
              <w:spacing w:after="60"/>
            </w:pPr>
            <w:r>
              <w:rPr>
                <w:rFonts w:ascii="Aptos" w:hAnsi="Aptos"/>
                <w:b/>
                <w:color w:val="1F4E79"/>
                <w:sz w:val="20"/>
              </w:rPr>
              <w:t>Control principle</w:t>
            </w:r>
          </w:p>
          <w:p>
            <w:pPr>
              <w:spacing w:after="40"/>
            </w:pPr>
            <w:r>
              <w:rPr>
                <w:rFonts w:ascii="Aptos" w:hAnsi="Aptos"/>
                <w:b w:val="0"/>
                <w:sz w:val="18"/>
              </w:rPr>
              <w:t>Incentives should reward behaviour that creates underlying market growth. They should not only reward a purchase spike that moves inventory from ISZE to the distributor.</w:t>
            </w:r>
          </w:p>
        </w:tc>
      </w:tr>
    </w:tbl>
    <w:p/>
    <w:p>
      <w:pPr>
        <w:pStyle w:val="ListBullet"/>
        <w:spacing w:after="40"/>
      </w:pPr>
      <w:r>
        <w:rPr>
          <w:rFonts w:ascii="Aptos" w:hAnsi="Aptos"/>
          <w:b w:val="0"/>
          <w:sz w:val="20"/>
        </w:rPr>
        <w:t>Add distributor sales or dealer activation evidence to incentive closing files.</w:t>
      </w:r>
    </w:p>
    <w:p>
      <w:pPr>
        <w:pStyle w:val="ListBullet"/>
        <w:spacing w:after="40"/>
      </w:pPr>
      <w:r>
        <w:rPr>
          <w:rFonts w:ascii="Aptos" w:hAnsi="Aptos"/>
          <w:b w:val="0"/>
          <w:sz w:val="20"/>
        </w:rPr>
        <w:t>Ask each distributor how support funds will be used before paying support.</w:t>
      </w:r>
    </w:p>
    <w:p>
      <w:pPr>
        <w:pStyle w:val="ListBullet"/>
        <w:spacing w:after="40"/>
      </w:pPr>
      <w:r>
        <w:rPr>
          <w:rFonts w:ascii="Aptos" w:hAnsi="Aptos"/>
          <w:b w:val="0"/>
          <w:sz w:val="20"/>
        </w:rPr>
        <w:t>Check abnormal purchase timing around target periods.</w:t>
      </w:r>
    </w:p>
    <w:p>
      <w:pPr>
        <w:pStyle w:val="ListBullet"/>
        <w:spacing w:after="40"/>
      </w:pPr>
      <w:r>
        <w:rPr>
          <w:rFonts w:ascii="Aptos" w:hAnsi="Aptos"/>
          <w:b w:val="0"/>
          <w:sz w:val="20"/>
        </w:rPr>
        <w:t>Separate support for strategic initiatives from simple volume rebates.</w:t>
      </w:r>
    </w:p>
    <w:p>
      <w:r>
        <w:br w:type="page"/>
      </w:r>
    </w:p>
    <w:p>
      <w:pPr>
        <w:pStyle w:val="Heading1"/>
      </w:pPr>
      <w:r>
        <w:t>9. IDS, Kaizen and Distributor Improvement</w:t>
      </w:r>
    </w:p>
    <w:p>
      <w:r>
        <w:rPr>
          <w:rFonts w:ascii="Aptos" w:hAnsi="Aptos"/>
          <w:b w:val="0"/>
          <w:sz w:val="20"/>
        </w:rPr>
        <w:t>IDS/Kaizen evolved from evaluation and award readiness into concrete distributor improvement planning. Masumi asks for overall summaries, distributor breakdowns, recommended Kaizen actions, reasons, meeting schedule ideas, target confirmation dates and result dates.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F4E79"/>
          </w:tcPr>
          <w:p>
            <w:pPr>
              <w:spacing w:after="0"/>
            </w:pPr>
            <w:r/>
            <w:r>
              <w:rPr>
                <w:rFonts w:ascii="Aptos" w:hAnsi="Aptos"/>
                <w:b/>
                <w:color w:val="FFFFFF"/>
                <w:sz w:val="16"/>
              </w:rPr>
              <w:t>Required output</w:t>
            </w:r>
          </w:p>
        </w:tc>
        <w:tc>
          <w:tcPr>
            <w:tcW w:type="dxa" w:w="3389"/>
            <w:vAlign w:val="center"/>
            <w:shd w:fill="1F4E79"/>
          </w:tcPr>
          <w:p>
            <w:pPr>
              <w:spacing w:after="0"/>
            </w:pPr>
            <w:r/>
            <w:r>
              <w:rPr>
                <w:rFonts w:ascii="Aptos" w:hAnsi="Aptos"/>
                <w:b/>
                <w:color w:val="FFFFFF"/>
                <w:sz w:val="16"/>
              </w:rPr>
              <w:t>Why it matters</w:t>
            </w:r>
          </w:p>
        </w:tc>
        <w:tc>
          <w:tcPr>
            <w:tcW w:type="dxa" w:w="3389"/>
            <w:vAlign w:val="center"/>
            <w:shd w:fill="1F4E79"/>
          </w:tcPr>
          <w:p>
            <w:pPr>
              <w:spacing w:after="0"/>
            </w:pPr>
            <w:r/>
            <w:r>
              <w:rPr>
                <w:rFonts w:ascii="Aptos" w:hAnsi="Aptos"/>
                <w:b/>
                <w:color w:val="FFFFFF"/>
                <w:sz w:val="16"/>
              </w:rPr>
              <w:t>Suggested control</w:t>
            </w:r>
          </w:p>
        </w:tc>
      </w:tr>
      <w:tr>
        <w:tc>
          <w:tcPr>
            <w:tcW w:type="dxa" w:w="3389"/>
            <w:vAlign w:val="center"/>
          </w:tcPr>
          <w:p>
            <w:pPr>
              <w:spacing w:after="0"/>
            </w:pPr>
            <w:r/>
            <w:r>
              <w:rPr>
                <w:rFonts w:ascii="Aptos" w:hAnsi="Aptos"/>
                <w:b w:val="0"/>
                <w:sz w:val="16"/>
              </w:rPr>
              <w:t>Overall evaluation summary</w:t>
            </w:r>
          </w:p>
        </w:tc>
        <w:tc>
          <w:tcPr>
            <w:tcW w:type="dxa" w:w="3389"/>
            <w:vAlign w:val="center"/>
          </w:tcPr>
          <w:p>
            <w:pPr>
              <w:spacing w:after="0"/>
            </w:pPr>
            <w:r/>
            <w:r>
              <w:rPr>
                <w:rFonts w:ascii="Aptos" w:hAnsi="Aptos"/>
                <w:b w:val="0"/>
                <w:sz w:val="16"/>
              </w:rPr>
              <w:t>Provides management overview</w:t>
            </w:r>
          </w:p>
        </w:tc>
        <w:tc>
          <w:tcPr>
            <w:tcW w:type="dxa" w:w="3389"/>
            <w:vAlign w:val="center"/>
          </w:tcPr>
          <w:p>
            <w:pPr>
              <w:spacing w:after="0"/>
            </w:pPr>
            <w:r/>
            <w:r>
              <w:rPr>
                <w:rFonts w:ascii="Aptos" w:hAnsi="Aptos"/>
                <w:b w:val="0"/>
                <w:sz w:val="16"/>
              </w:rPr>
              <w:t>Compare network-level issues</w:t>
            </w:r>
          </w:p>
        </w:tc>
      </w:tr>
      <w:tr>
        <w:tc>
          <w:tcPr>
            <w:tcW w:type="dxa" w:w="3389"/>
            <w:vAlign w:val="center"/>
          </w:tcPr>
          <w:p>
            <w:pPr>
              <w:spacing w:after="0"/>
            </w:pPr>
            <w:r/>
            <w:r>
              <w:rPr>
                <w:rFonts w:ascii="Aptos" w:hAnsi="Aptos"/>
                <w:b w:val="0"/>
                <w:sz w:val="16"/>
              </w:rPr>
              <w:t>Per-distributor analysis</w:t>
            </w:r>
          </w:p>
        </w:tc>
        <w:tc>
          <w:tcPr>
            <w:tcW w:type="dxa" w:w="3389"/>
            <w:vAlign w:val="center"/>
          </w:tcPr>
          <w:p>
            <w:pPr>
              <w:spacing w:after="0"/>
            </w:pPr>
            <w:r/>
            <w:r>
              <w:rPr>
                <w:rFonts w:ascii="Aptos" w:hAnsi="Aptos"/>
                <w:b w:val="0"/>
                <w:sz w:val="16"/>
              </w:rPr>
              <w:t>Explains local weaknesses</w:t>
            </w:r>
          </w:p>
        </w:tc>
        <w:tc>
          <w:tcPr>
            <w:tcW w:type="dxa" w:w="3389"/>
            <w:vAlign w:val="center"/>
          </w:tcPr>
          <w:p>
            <w:pPr>
              <w:spacing w:after="0"/>
            </w:pPr>
            <w:r/>
            <w:r>
              <w:rPr>
                <w:rFonts w:ascii="Aptos" w:hAnsi="Aptos"/>
                <w:b w:val="0"/>
                <w:sz w:val="16"/>
              </w:rPr>
              <w:t>Use consistent template</w:t>
            </w:r>
          </w:p>
        </w:tc>
      </w:tr>
      <w:tr>
        <w:tc>
          <w:tcPr>
            <w:tcW w:type="dxa" w:w="3389"/>
            <w:vAlign w:val="center"/>
          </w:tcPr>
          <w:p>
            <w:pPr>
              <w:spacing w:after="0"/>
            </w:pPr>
            <w:r/>
            <w:r>
              <w:rPr>
                <w:rFonts w:ascii="Aptos" w:hAnsi="Aptos"/>
                <w:b w:val="0"/>
                <w:sz w:val="16"/>
              </w:rPr>
              <w:t>Kaizen action and reason</w:t>
            </w:r>
          </w:p>
        </w:tc>
        <w:tc>
          <w:tcPr>
            <w:tcW w:type="dxa" w:w="3389"/>
            <w:vAlign w:val="center"/>
          </w:tcPr>
          <w:p>
            <w:pPr>
              <w:spacing w:after="0"/>
            </w:pPr>
            <w:r/>
            <w:r>
              <w:rPr>
                <w:rFonts w:ascii="Aptos" w:hAnsi="Aptos"/>
                <w:b w:val="0"/>
                <w:sz w:val="16"/>
              </w:rPr>
              <w:t>Links action to evidence</w:t>
            </w:r>
          </w:p>
        </w:tc>
        <w:tc>
          <w:tcPr>
            <w:tcW w:type="dxa" w:w="3389"/>
            <w:vAlign w:val="center"/>
          </w:tcPr>
          <w:p>
            <w:pPr>
              <w:spacing w:after="0"/>
            </w:pPr>
            <w:r/>
            <w:r>
              <w:rPr>
                <w:rFonts w:ascii="Aptos" w:hAnsi="Aptos"/>
                <w:b w:val="0"/>
                <w:sz w:val="16"/>
              </w:rPr>
              <w:t>Avoid generic recommendations</w:t>
            </w:r>
          </w:p>
        </w:tc>
      </w:tr>
      <w:tr>
        <w:tc>
          <w:tcPr>
            <w:tcW w:type="dxa" w:w="3389"/>
            <w:vAlign w:val="center"/>
          </w:tcPr>
          <w:p>
            <w:pPr>
              <w:spacing w:after="0"/>
            </w:pPr>
            <w:r/>
            <w:r>
              <w:rPr>
                <w:rFonts w:ascii="Aptos" w:hAnsi="Aptos"/>
                <w:b w:val="0"/>
                <w:sz w:val="16"/>
              </w:rPr>
              <w:t>Meeting schedule</w:t>
            </w:r>
          </w:p>
        </w:tc>
        <w:tc>
          <w:tcPr>
            <w:tcW w:type="dxa" w:w="3389"/>
            <w:vAlign w:val="center"/>
          </w:tcPr>
          <w:p>
            <w:pPr>
              <w:spacing w:after="0"/>
            </w:pPr>
            <w:r/>
            <w:r>
              <w:rPr>
                <w:rFonts w:ascii="Aptos" w:hAnsi="Aptos"/>
                <w:b w:val="0"/>
                <w:sz w:val="16"/>
              </w:rPr>
              <w:t>Controls execution timing</w:t>
            </w:r>
          </w:p>
        </w:tc>
        <w:tc>
          <w:tcPr>
            <w:tcW w:type="dxa" w:w="3389"/>
            <w:vAlign w:val="center"/>
          </w:tcPr>
          <w:p>
            <w:pPr>
              <w:spacing w:after="0"/>
            </w:pPr>
            <w:r/>
            <w:r>
              <w:rPr>
                <w:rFonts w:ascii="Aptos" w:hAnsi="Aptos"/>
                <w:b w:val="0"/>
                <w:sz w:val="16"/>
              </w:rPr>
              <w:t>Owner/date per distributor</w:t>
            </w:r>
          </w:p>
        </w:tc>
      </w:tr>
      <w:tr>
        <w:tc>
          <w:tcPr>
            <w:tcW w:type="dxa" w:w="3389"/>
            <w:vAlign w:val="center"/>
          </w:tcPr>
          <w:p>
            <w:pPr>
              <w:spacing w:after="0"/>
            </w:pPr>
            <w:r/>
            <w:r>
              <w:rPr>
                <w:rFonts w:ascii="Aptos" w:hAnsi="Aptos"/>
                <w:b w:val="0"/>
                <w:sz w:val="16"/>
              </w:rPr>
              <w:t>Confirmation/result dates</w:t>
            </w:r>
          </w:p>
        </w:tc>
        <w:tc>
          <w:tcPr>
            <w:tcW w:type="dxa" w:w="3389"/>
            <w:vAlign w:val="center"/>
          </w:tcPr>
          <w:p>
            <w:pPr>
              <w:spacing w:after="0"/>
            </w:pPr>
            <w:r/>
            <w:r>
              <w:rPr>
                <w:rFonts w:ascii="Aptos" w:hAnsi="Aptos"/>
                <w:b w:val="0"/>
                <w:sz w:val="16"/>
              </w:rPr>
              <w:t>Makes Kaizen measurable</w:t>
            </w:r>
          </w:p>
        </w:tc>
        <w:tc>
          <w:tcPr>
            <w:tcW w:type="dxa" w:w="3389"/>
            <w:vAlign w:val="center"/>
          </w:tcPr>
          <w:p>
            <w:pPr>
              <w:spacing w:after="0"/>
            </w:pPr>
            <w:r/>
            <w:r>
              <w:rPr>
                <w:rFonts w:ascii="Aptos" w:hAnsi="Aptos"/>
                <w:b w:val="0"/>
                <w:sz w:val="16"/>
              </w:rPr>
              <w:t>Before/after evidence</w:t>
            </w:r>
          </w:p>
        </w:tc>
      </w:tr>
    </w:tbl>
    <w:p/>
    <w:p>
      <w:r>
        <w:br w:type="page"/>
      </w:r>
    </w:p>
    <w:p>
      <w:pPr>
        <w:pStyle w:val="Heading1"/>
      </w:pPr>
      <w:r>
        <w:t>10. Business Planning and FY2031 Outlook</w:t>
      </w:r>
    </w:p>
    <w:p>
      <w:r>
        <w:rPr>
          <w:rFonts w:ascii="Aptos" w:hAnsi="Aptos"/>
          <w:b w:val="0"/>
          <w:sz w:val="20"/>
        </w:rPr>
        <w:t>The business planning material connects longer-term growth ambition with practical growth levers. The FY2031 plan thread discusses a 76% increase, maintaining the VP plan as presented in Kosha material and reallocating differences to IE. This sits behind the pressure to make PMS, GPS, incentives and distributor action plans concrete.</w:t>
      </w:r>
    </w:p>
    <w:p>
      <w:pPr>
        <w:pStyle w:val="ListBullet"/>
        <w:spacing w:after="40"/>
      </w:pPr>
      <w:r>
        <w:rPr>
          <w:rFonts w:ascii="Aptos" w:hAnsi="Aptos"/>
          <w:b w:val="0"/>
          <w:sz w:val="20"/>
        </w:rPr>
        <w:t>A strong long-term target requires a credible bridge from current results to future opportunity.</w:t>
      </w:r>
    </w:p>
    <w:p>
      <w:pPr>
        <w:pStyle w:val="ListBullet"/>
        <w:spacing w:after="40"/>
      </w:pPr>
      <w:r>
        <w:rPr>
          <w:rFonts w:ascii="Aptos" w:hAnsi="Aptos"/>
          <w:b w:val="0"/>
          <w:sz w:val="20"/>
        </w:rPr>
        <w:t>GPS, PMS, lubricants and distributor incentives are the practical levers that can support the plan.</w:t>
      </w:r>
    </w:p>
    <w:p>
      <w:pPr>
        <w:pStyle w:val="ListBullet"/>
        <w:spacing w:after="40"/>
      </w:pPr>
      <w:r>
        <w:rPr>
          <w:rFonts w:ascii="Aptos" w:hAnsi="Aptos"/>
          <w:b w:val="0"/>
          <w:sz w:val="20"/>
        </w:rPr>
        <w:t>If calculations are not consistent, future planning may look ambitious but not operationally grounded.</w:t>
      </w:r>
    </w:p>
    <w:p>
      <w:pPr>
        <w:pStyle w:val="ListBullet"/>
        <w:spacing w:after="40"/>
      </w:pPr>
      <w:r>
        <w:rPr>
          <w:rFonts w:ascii="Aptos" w:hAnsi="Aptos"/>
          <w:b w:val="0"/>
          <w:sz w:val="20"/>
        </w:rPr>
        <w:t>The strongest next step is to link each long-term number to a named action and accountable owner.</w:t>
      </w:r>
    </w:p>
    <w:p>
      <w:r>
        <w:br w:type="page"/>
      </w:r>
    </w:p>
    <w:p>
      <w:pPr>
        <w:pStyle w:val="Heading1"/>
      </w:pPr>
      <w:r>
        <w:t>11. Accountability and Operating Rhythm</w:t>
      </w:r>
    </w:p>
    <w:p>
      <w:r>
        <w:rPr>
          <w:rFonts w:ascii="Aptos" w:hAnsi="Aptos"/>
          <w:b w:val="0"/>
          <w:sz w:val="20"/>
        </w:rPr>
        <w:t>Masumi repeatedly asks for owners, milestones, completion dates, draft dates and meeting schedules. This is visible in the FY2027 action plan thread, IDS/Kaizen preparation and GPS/KPI follow-up. The pattern indicates a strong need for a single project management view across VP initiatives.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F4E79"/>
          </w:tcPr>
          <w:p>
            <w:pPr>
              <w:spacing w:after="0"/>
            </w:pPr>
            <w:r/>
            <w:r>
              <w:rPr>
                <w:rFonts w:ascii="Aptos" w:hAnsi="Aptos"/>
                <w:b/>
                <w:color w:val="FFFFFF"/>
                <w:sz w:val="16"/>
              </w:rPr>
              <w:t>Programme</w:t>
            </w:r>
          </w:p>
        </w:tc>
        <w:tc>
          <w:tcPr>
            <w:tcW w:type="dxa" w:w="3389"/>
            <w:vAlign w:val="center"/>
            <w:shd w:fill="1F4E79"/>
          </w:tcPr>
          <w:p>
            <w:pPr>
              <w:spacing w:after="0"/>
            </w:pPr>
            <w:r/>
            <w:r>
              <w:rPr>
                <w:rFonts w:ascii="Aptos" w:hAnsi="Aptos"/>
                <w:b/>
                <w:color w:val="FFFFFF"/>
                <w:sz w:val="16"/>
              </w:rPr>
              <w:t>Typical owner need</w:t>
            </w:r>
          </w:p>
        </w:tc>
        <w:tc>
          <w:tcPr>
            <w:tcW w:type="dxa" w:w="3389"/>
            <w:vAlign w:val="center"/>
            <w:shd w:fill="1F4E79"/>
          </w:tcPr>
          <w:p>
            <w:pPr>
              <w:spacing w:after="0"/>
            </w:pPr>
            <w:r/>
            <w:r>
              <w:rPr>
                <w:rFonts w:ascii="Aptos" w:hAnsi="Aptos"/>
                <w:b/>
                <w:color w:val="FFFFFF"/>
                <w:sz w:val="16"/>
              </w:rPr>
              <w:t>Core deliverable</w:t>
            </w:r>
          </w:p>
        </w:tc>
      </w:tr>
      <w:tr>
        <w:tc>
          <w:tcPr>
            <w:tcW w:type="dxa" w:w="3389"/>
            <w:vAlign w:val="center"/>
          </w:tcPr>
          <w:p>
            <w:pPr>
              <w:spacing w:after="0"/>
            </w:pPr>
            <w:r/>
            <w:r>
              <w:rPr>
                <w:rFonts w:ascii="Aptos" w:hAnsi="Aptos"/>
                <w:b w:val="0"/>
                <w:sz w:val="16"/>
              </w:rPr>
              <w:t>GPS/KPI</w:t>
            </w:r>
          </w:p>
        </w:tc>
        <w:tc>
          <w:tcPr>
            <w:tcW w:type="dxa" w:w="3389"/>
            <w:vAlign w:val="center"/>
          </w:tcPr>
          <w:p>
            <w:pPr>
              <w:spacing w:after="0"/>
            </w:pPr>
            <w:r/>
            <w:r>
              <w:rPr>
                <w:rFonts w:ascii="Aptos" w:hAnsi="Aptos"/>
                <w:b w:val="0"/>
                <w:sz w:val="16"/>
              </w:rPr>
              <w:t>Sales + data owner</w:t>
            </w:r>
          </w:p>
        </w:tc>
        <w:tc>
          <w:tcPr>
            <w:tcW w:type="dxa" w:w="3389"/>
            <w:vAlign w:val="center"/>
          </w:tcPr>
          <w:p>
            <w:pPr>
              <w:spacing w:after="0"/>
            </w:pPr>
            <w:r/>
            <w:r>
              <w:rPr>
                <w:rFonts w:ascii="Aptos" w:hAnsi="Aptos"/>
                <w:b w:val="0"/>
                <w:sz w:val="16"/>
              </w:rPr>
              <w:t>Target pack and gap log</w:t>
            </w:r>
          </w:p>
        </w:tc>
      </w:tr>
      <w:tr>
        <w:tc>
          <w:tcPr>
            <w:tcW w:type="dxa" w:w="3389"/>
            <w:vAlign w:val="center"/>
          </w:tcPr>
          <w:p>
            <w:pPr>
              <w:spacing w:after="0"/>
            </w:pPr>
            <w:r/>
            <w:r>
              <w:rPr>
                <w:rFonts w:ascii="Aptos" w:hAnsi="Aptos"/>
                <w:b w:val="0"/>
                <w:sz w:val="16"/>
              </w:rPr>
              <w:t>PMS</w:t>
            </w:r>
          </w:p>
        </w:tc>
        <w:tc>
          <w:tcPr>
            <w:tcW w:type="dxa" w:w="3389"/>
            <w:vAlign w:val="center"/>
          </w:tcPr>
          <w:p>
            <w:pPr>
              <w:spacing w:after="0"/>
            </w:pPr>
            <w:r/>
            <w:r>
              <w:rPr>
                <w:rFonts w:ascii="Aptos" w:hAnsi="Aptos"/>
                <w:b w:val="0"/>
                <w:sz w:val="16"/>
              </w:rPr>
              <w:t>Jerome / Hadi / distributor lead</w:t>
            </w:r>
          </w:p>
        </w:tc>
        <w:tc>
          <w:tcPr>
            <w:tcW w:type="dxa" w:w="3389"/>
            <w:vAlign w:val="center"/>
          </w:tcPr>
          <w:p>
            <w:pPr>
              <w:spacing w:after="0"/>
            </w:pPr>
            <w:r/>
            <w:r>
              <w:rPr>
                <w:rFonts w:ascii="Aptos" w:hAnsi="Aptos"/>
                <w:b w:val="0"/>
                <w:sz w:val="16"/>
              </w:rPr>
              <w:t>PMS target and SPA approval file</w:t>
            </w:r>
          </w:p>
        </w:tc>
      </w:tr>
      <w:tr>
        <w:tc>
          <w:tcPr>
            <w:tcW w:type="dxa" w:w="3389"/>
            <w:vAlign w:val="center"/>
          </w:tcPr>
          <w:p>
            <w:pPr>
              <w:spacing w:after="0"/>
            </w:pPr>
            <w:r/>
            <w:r>
              <w:rPr>
                <w:rFonts w:ascii="Aptos" w:hAnsi="Aptos"/>
                <w:b w:val="0"/>
                <w:sz w:val="16"/>
              </w:rPr>
              <w:t>Lubricants</w:t>
            </w:r>
          </w:p>
        </w:tc>
        <w:tc>
          <w:tcPr>
            <w:tcW w:type="dxa" w:w="3389"/>
            <w:vAlign w:val="center"/>
          </w:tcPr>
          <w:p>
            <w:pPr>
              <w:spacing w:after="0"/>
            </w:pPr>
            <w:r/>
            <w:r>
              <w:rPr>
                <w:rFonts w:ascii="Aptos" w:hAnsi="Aptos"/>
                <w:b w:val="0"/>
                <w:sz w:val="16"/>
              </w:rPr>
              <w:t>Koen / Jerome / Japan interface</w:t>
            </w:r>
          </w:p>
        </w:tc>
        <w:tc>
          <w:tcPr>
            <w:tcW w:type="dxa" w:w="3389"/>
            <w:vAlign w:val="center"/>
          </w:tcPr>
          <w:p>
            <w:pPr>
              <w:spacing w:after="0"/>
            </w:pPr>
            <w:r/>
            <w:r>
              <w:rPr>
                <w:rFonts w:ascii="Aptos" w:hAnsi="Aptos"/>
                <w:b w:val="0"/>
                <w:sz w:val="16"/>
              </w:rPr>
              <w:t>Opportunity model and survey conclusions</w:t>
            </w:r>
          </w:p>
        </w:tc>
      </w:tr>
      <w:tr>
        <w:tc>
          <w:tcPr>
            <w:tcW w:type="dxa" w:w="3389"/>
            <w:vAlign w:val="center"/>
          </w:tcPr>
          <w:p>
            <w:pPr>
              <w:spacing w:after="0"/>
            </w:pPr>
            <w:r/>
            <w:r>
              <w:rPr>
                <w:rFonts w:ascii="Aptos" w:hAnsi="Aptos"/>
                <w:b w:val="0"/>
                <w:sz w:val="16"/>
              </w:rPr>
              <w:t>IDS/Kaizen</w:t>
            </w:r>
          </w:p>
        </w:tc>
        <w:tc>
          <w:tcPr>
            <w:tcW w:type="dxa" w:w="3389"/>
            <w:vAlign w:val="center"/>
          </w:tcPr>
          <w:p>
            <w:pPr>
              <w:spacing w:after="0"/>
            </w:pPr>
            <w:r/>
            <w:r>
              <w:rPr>
                <w:rFonts w:ascii="Aptos" w:hAnsi="Aptos"/>
                <w:b w:val="0"/>
                <w:sz w:val="16"/>
              </w:rPr>
              <w:t>Bart / Hadi / Jerome / Tomoe</w:t>
            </w:r>
          </w:p>
        </w:tc>
        <w:tc>
          <w:tcPr>
            <w:tcW w:type="dxa" w:w="3389"/>
            <w:vAlign w:val="center"/>
          </w:tcPr>
          <w:p>
            <w:pPr>
              <w:spacing w:after="0"/>
            </w:pPr>
            <w:r/>
            <w:r>
              <w:rPr>
                <w:rFonts w:ascii="Aptos" w:hAnsi="Aptos"/>
                <w:b w:val="0"/>
                <w:sz w:val="16"/>
              </w:rPr>
              <w:t>Distributor action matrix</w:t>
            </w:r>
          </w:p>
        </w:tc>
      </w:tr>
      <w:tr>
        <w:tc>
          <w:tcPr>
            <w:tcW w:type="dxa" w:w="3389"/>
            <w:vAlign w:val="center"/>
          </w:tcPr>
          <w:p>
            <w:pPr>
              <w:spacing w:after="0"/>
            </w:pPr>
            <w:r/>
            <w:r>
              <w:rPr>
                <w:rFonts w:ascii="Aptos" w:hAnsi="Aptos"/>
                <w:b w:val="0"/>
                <w:sz w:val="16"/>
              </w:rPr>
              <w:t>Incentives</w:t>
            </w:r>
          </w:p>
        </w:tc>
        <w:tc>
          <w:tcPr>
            <w:tcW w:type="dxa" w:w="3389"/>
            <w:vAlign w:val="center"/>
          </w:tcPr>
          <w:p>
            <w:pPr>
              <w:spacing w:after="0"/>
            </w:pPr>
            <w:r/>
            <w:r>
              <w:rPr>
                <w:rFonts w:ascii="Aptos" w:hAnsi="Aptos"/>
                <w:b w:val="0"/>
                <w:sz w:val="16"/>
              </w:rPr>
              <w:t>Sales + finance</w:t>
            </w:r>
          </w:p>
        </w:tc>
        <w:tc>
          <w:tcPr>
            <w:tcW w:type="dxa" w:w="3389"/>
            <w:vAlign w:val="center"/>
          </w:tcPr>
          <w:p>
            <w:pPr>
              <w:spacing w:after="0"/>
            </w:pPr>
            <w:r/>
            <w:r>
              <w:rPr>
                <w:rFonts w:ascii="Aptos" w:hAnsi="Aptos"/>
                <w:b w:val="0"/>
                <w:sz w:val="16"/>
              </w:rPr>
              <w:t>MOU evidence and usage check</w:t>
            </w:r>
          </w:p>
        </w:tc>
      </w:tr>
    </w:tbl>
    <w:p/>
    <w:p>
      <w:r>
        <w:br w:type="page"/>
      </w:r>
    </w:p>
    <w:p>
      <w:pPr>
        <w:pStyle w:val="Heading1"/>
      </w:pPr>
      <w:r>
        <w:t>12. Consolidated Risks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F4E79"/>
          </w:tcPr>
          <w:p>
            <w:pPr>
              <w:spacing w:after="0"/>
            </w:pPr>
            <w:r/>
            <w:r>
              <w:rPr>
                <w:rFonts w:ascii="Aptos" w:hAnsi="Aptos"/>
                <w:b/>
                <w:color w:val="FFFFFF"/>
                <w:sz w:val="16"/>
              </w:rPr>
              <w:t>Risk</w:t>
            </w:r>
          </w:p>
        </w:tc>
        <w:tc>
          <w:tcPr>
            <w:tcW w:type="dxa" w:w="3389"/>
            <w:vAlign w:val="center"/>
            <w:shd w:fill="1F4E79"/>
          </w:tcPr>
          <w:p>
            <w:pPr>
              <w:spacing w:after="0"/>
            </w:pPr>
            <w:r/>
            <w:r>
              <w:rPr>
                <w:rFonts w:ascii="Aptos" w:hAnsi="Aptos"/>
                <w:b/>
                <w:color w:val="FFFFFF"/>
                <w:sz w:val="16"/>
              </w:rPr>
              <w:t>Impact</w:t>
            </w:r>
          </w:p>
        </w:tc>
        <w:tc>
          <w:tcPr>
            <w:tcW w:type="dxa" w:w="3389"/>
            <w:vAlign w:val="center"/>
            <w:shd w:fill="1F4E79"/>
          </w:tcPr>
          <w:p>
            <w:pPr>
              <w:spacing w:after="0"/>
            </w:pPr>
            <w:r/>
            <w:r>
              <w:rPr>
                <w:rFonts w:ascii="Aptos" w:hAnsi="Aptos"/>
                <w:b/>
                <w:color w:val="FFFFFF"/>
                <w:sz w:val="16"/>
              </w:rPr>
              <w:t>Suggested mitigation</w:t>
            </w:r>
          </w:p>
        </w:tc>
      </w:tr>
      <w:tr>
        <w:tc>
          <w:tcPr>
            <w:tcW w:type="dxa" w:w="3389"/>
            <w:vAlign w:val="center"/>
          </w:tcPr>
          <w:p>
            <w:pPr>
              <w:spacing w:after="0"/>
            </w:pPr>
            <w:r/>
            <w:r>
              <w:rPr>
                <w:rFonts w:ascii="Aptos" w:hAnsi="Aptos"/>
                <w:b w:val="0"/>
                <w:sz w:val="16"/>
              </w:rPr>
              <w:t>GPS methodology not fixed</w:t>
            </w:r>
          </w:p>
        </w:tc>
        <w:tc>
          <w:tcPr>
            <w:tcW w:type="dxa" w:w="3389"/>
            <w:vAlign w:val="center"/>
          </w:tcPr>
          <w:p>
            <w:pPr>
              <w:spacing w:after="0"/>
            </w:pPr>
            <w:r/>
            <w:r>
              <w:rPr>
                <w:rFonts w:ascii="Aptos" w:hAnsi="Aptos"/>
                <w:b w:val="0"/>
                <w:sz w:val="16"/>
              </w:rPr>
              <w:t>Different targets and weak distributor credibility</w:t>
            </w:r>
          </w:p>
        </w:tc>
        <w:tc>
          <w:tcPr>
            <w:tcW w:type="dxa" w:w="3389"/>
            <w:vAlign w:val="center"/>
          </w:tcPr>
          <w:p>
            <w:pPr>
              <w:spacing w:after="0"/>
            </w:pPr>
            <w:r/>
            <w:r>
              <w:rPr>
                <w:rFonts w:ascii="Aptos" w:hAnsi="Aptos"/>
                <w:b w:val="0"/>
                <w:sz w:val="16"/>
              </w:rPr>
              <w:t>Methodology memo before dispatch</w:t>
            </w:r>
          </w:p>
        </w:tc>
      </w:tr>
      <w:tr>
        <w:tc>
          <w:tcPr>
            <w:tcW w:type="dxa" w:w="3389"/>
            <w:vAlign w:val="center"/>
          </w:tcPr>
          <w:p>
            <w:pPr>
              <w:spacing w:after="0"/>
            </w:pPr>
            <w:r/>
            <w:r>
              <w:rPr>
                <w:rFonts w:ascii="Aptos" w:hAnsi="Aptos"/>
                <w:b w:val="0"/>
                <w:sz w:val="16"/>
              </w:rPr>
              <w:t>Incomplete KPI data</w:t>
            </w:r>
          </w:p>
        </w:tc>
        <w:tc>
          <w:tcPr>
            <w:tcW w:type="dxa" w:w="3389"/>
            <w:vAlign w:val="center"/>
          </w:tcPr>
          <w:p>
            <w:pPr>
              <w:spacing w:after="0"/>
            </w:pPr>
            <w:r/>
            <w:r>
              <w:rPr>
                <w:rFonts w:ascii="Aptos" w:hAnsi="Aptos"/>
                <w:b w:val="0"/>
                <w:sz w:val="16"/>
              </w:rPr>
              <w:t>Unfair comparisons or weak awards</w:t>
            </w:r>
          </w:p>
        </w:tc>
        <w:tc>
          <w:tcPr>
            <w:tcW w:type="dxa" w:w="3389"/>
            <w:vAlign w:val="center"/>
          </w:tcPr>
          <w:p>
            <w:pPr>
              <w:spacing w:after="0"/>
            </w:pPr>
            <w:r/>
            <w:r>
              <w:rPr>
                <w:rFonts w:ascii="Aptos" w:hAnsi="Aptos"/>
                <w:b w:val="0"/>
                <w:sz w:val="16"/>
              </w:rPr>
              <w:t>Data gap log and exceptions</w:t>
            </w:r>
          </w:p>
        </w:tc>
      </w:tr>
      <w:tr>
        <w:tc>
          <w:tcPr>
            <w:tcW w:type="dxa" w:w="3389"/>
            <w:vAlign w:val="center"/>
          </w:tcPr>
          <w:p>
            <w:pPr>
              <w:spacing w:after="0"/>
            </w:pPr>
            <w:r/>
            <w:r>
              <w:rPr>
                <w:rFonts w:ascii="Aptos" w:hAnsi="Aptos"/>
                <w:b w:val="0"/>
                <w:sz w:val="16"/>
              </w:rPr>
              <w:t>PMS scope creep</w:t>
            </w:r>
          </w:p>
        </w:tc>
        <w:tc>
          <w:tcPr>
            <w:tcW w:type="dxa" w:w="3389"/>
            <w:vAlign w:val="center"/>
          </w:tcPr>
          <w:p>
            <w:pPr>
              <w:spacing w:after="0"/>
            </w:pPr>
            <w:r/>
            <w:r>
              <w:rPr>
                <w:rFonts w:ascii="Aptos" w:hAnsi="Aptos"/>
                <w:b w:val="0"/>
                <w:sz w:val="16"/>
              </w:rPr>
              <w:t>Delayed execution and owner overload</w:t>
            </w:r>
          </w:p>
        </w:tc>
        <w:tc>
          <w:tcPr>
            <w:tcW w:type="dxa" w:w="3389"/>
            <w:vAlign w:val="center"/>
          </w:tcPr>
          <w:p>
            <w:pPr>
              <w:spacing w:after="0"/>
            </w:pPr>
            <w:r/>
            <w:r>
              <w:rPr>
                <w:rFonts w:ascii="Aptos" w:hAnsi="Aptos"/>
                <w:b w:val="0"/>
                <w:sz w:val="16"/>
              </w:rPr>
              <w:t>Market readiness segmentation</w:t>
            </w:r>
          </w:p>
        </w:tc>
      </w:tr>
      <w:tr>
        <w:tc>
          <w:tcPr>
            <w:tcW w:type="dxa" w:w="3389"/>
            <w:vAlign w:val="center"/>
          </w:tcPr>
          <w:p>
            <w:pPr>
              <w:spacing w:after="0"/>
            </w:pPr>
            <w:r/>
            <w:r>
              <w:rPr>
                <w:rFonts w:ascii="Aptos" w:hAnsi="Aptos"/>
                <w:b w:val="0"/>
                <w:sz w:val="16"/>
              </w:rPr>
              <w:t>Incentive front-loading</w:t>
            </w:r>
          </w:p>
        </w:tc>
        <w:tc>
          <w:tcPr>
            <w:tcW w:type="dxa" w:w="3389"/>
            <w:vAlign w:val="center"/>
          </w:tcPr>
          <w:p>
            <w:pPr>
              <w:spacing w:after="0"/>
            </w:pPr>
            <w:r/>
            <w:r>
              <w:rPr>
                <w:rFonts w:ascii="Aptos" w:hAnsi="Aptos"/>
                <w:b w:val="0"/>
                <w:sz w:val="16"/>
              </w:rPr>
              <w:t>Artificial sales without retail growth</w:t>
            </w:r>
          </w:p>
        </w:tc>
        <w:tc>
          <w:tcPr>
            <w:tcW w:type="dxa" w:w="3389"/>
            <w:vAlign w:val="center"/>
          </w:tcPr>
          <w:p>
            <w:pPr>
              <w:spacing w:after="0"/>
            </w:pPr>
            <w:r/>
            <w:r>
              <w:rPr>
                <w:rFonts w:ascii="Aptos" w:hAnsi="Aptos"/>
                <w:b w:val="0"/>
                <w:sz w:val="16"/>
              </w:rPr>
              <w:t>Evidence of dealer sell-out/support usage</w:t>
            </w:r>
          </w:p>
        </w:tc>
      </w:tr>
      <w:tr>
        <w:tc>
          <w:tcPr>
            <w:tcW w:type="dxa" w:w="3389"/>
            <w:vAlign w:val="center"/>
          </w:tcPr>
          <w:p>
            <w:pPr>
              <w:spacing w:after="0"/>
            </w:pPr>
            <w:r/>
            <w:r>
              <w:rPr>
                <w:rFonts w:ascii="Aptos" w:hAnsi="Aptos"/>
                <w:b w:val="0"/>
                <w:sz w:val="16"/>
              </w:rPr>
              <w:t>Lubricant ownership unclear</w:t>
            </w:r>
          </w:p>
        </w:tc>
        <w:tc>
          <w:tcPr>
            <w:tcW w:type="dxa" w:w="3389"/>
            <w:vAlign w:val="center"/>
          </w:tcPr>
          <w:p>
            <w:pPr>
              <w:spacing w:after="0"/>
            </w:pPr>
            <w:r/>
            <w:r>
              <w:rPr>
                <w:rFonts w:ascii="Aptos" w:hAnsi="Aptos"/>
                <w:b w:val="0"/>
                <w:sz w:val="16"/>
              </w:rPr>
              <w:t>Japan/ISZE expectation mismatch</w:t>
            </w:r>
          </w:p>
        </w:tc>
        <w:tc>
          <w:tcPr>
            <w:tcW w:type="dxa" w:w="3389"/>
            <w:vAlign w:val="center"/>
          </w:tcPr>
          <w:p>
            <w:pPr>
              <w:spacing w:after="0"/>
            </w:pPr>
            <w:r/>
            <w:r>
              <w:rPr>
                <w:rFonts w:ascii="Aptos" w:hAnsi="Aptos"/>
                <w:b w:val="0"/>
                <w:sz w:val="16"/>
              </w:rPr>
              <w:t>Project phase and decision gate</w:t>
            </w:r>
          </w:p>
        </w:tc>
      </w:tr>
      <w:tr>
        <w:tc>
          <w:tcPr>
            <w:tcW w:type="dxa" w:w="3389"/>
            <w:vAlign w:val="center"/>
          </w:tcPr>
          <w:p>
            <w:pPr>
              <w:spacing w:after="0"/>
            </w:pPr>
            <w:r/>
            <w:r>
              <w:rPr>
                <w:rFonts w:ascii="Aptos" w:hAnsi="Aptos"/>
                <w:b w:val="0"/>
                <w:sz w:val="16"/>
              </w:rPr>
              <w:t>IDS action/prize logic mixed</w:t>
            </w:r>
          </w:p>
        </w:tc>
        <w:tc>
          <w:tcPr>
            <w:tcW w:type="dxa" w:w="3389"/>
            <w:vAlign w:val="center"/>
          </w:tcPr>
          <w:p>
            <w:pPr>
              <w:spacing w:after="0"/>
            </w:pPr>
            <w:r/>
            <w:r>
              <w:rPr>
                <w:rFonts w:ascii="Aptos" w:hAnsi="Aptos"/>
                <w:b w:val="0"/>
                <w:sz w:val="16"/>
              </w:rPr>
              <w:t>Distributor challenge or confusion</w:t>
            </w:r>
          </w:p>
        </w:tc>
        <w:tc>
          <w:tcPr>
            <w:tcW w:type="dxa" w:w="3389"/>
            <w:vAlign w:val="center"/>
          </w:tcPr>
          <w:p>
            <w:pPr>
              <w:spacing w:after="0"/>
            </w:pPr>
            <w:r/>
            <w:r>
              <w:rPr>
                <w:rFonts w:ascii="Aptos" w:hAnsi="Aptos"/>
                <w:b w:val="0"/>
                <w:sz w:val="16"/>
              </w:rPr>
              <w:t>Separate award criteria from improvement actions</w:t>
            </w:r>
          </w:p>
        </w:tc>
      </w:tr>
    </w:tbl>
    <w:p/>
    <w:tbl>
      <w:tblPr>
        <w:tblW w:type="auto" w:w="0"/>
        <w:jc w:val="center"/>
        <w:tblLook w:firstColumn="1" w:firstRow="1" w:lastColumn="0" w:lastRow="0" w:noHBand="0" w:noVBand="1" w:val="04A0"/>
      </w:tblPr>
      <w:tblGrid>
        <w:gridCol w:w="10166"/>
      </w:tblGrid>
      <w:tr>
        <w:tc>
          <w:tcPr>
            <w:tcW w:type="dxa" w:w="10166"/>
            <w:shd w:fill="F3F8FC"/>
          </w:tcPr>
          <w:p>
            <w:pPr>
              <w:spacing w:after="60"/>
            </w:pPr>
            <w:r>
              <w:rPr>
                <w:rFonts w:ascii="Aptos" w:hAnsi="Aptos"/>
                <w:b/>
                <w:color w:val="1F4E79"/>
                <w:sz w:val="20"/>
              </w:rPr>
              <w:t>Overall risk statement</w:t>
            </w:r>
          </w:p>
          <w:p>
            <w:pPr>
              <w:spacing w:after="40"/>
            </w:pPr>
            <w:r>
              <w:rPr>
                <w:rFonts w:ascii="Aptos" w:hAnsi="Aptos"/>
                <w:b w:val="0"/>
                <w:sz w:val="18"/>
              </w:rPr>
              <w:t>The main risk is not lack of direction. The main risk is that multiple strategic workstreams move faster than the underlying data, governance and ownership model.</w:t>
            </w:r>
          </w:p>
        </w:tc>
      </w:tr>
    </w:tbl>
    <w:p/>
    <w:p>
      <w:r>
        <w:br w:type="page"/>
      </w:r>
    </w:p>
    <w:p>
      <w:pPr>
        <w:pStyle w:val="Heading1"/>
      </w:pPr>
      <w:r>
        <w:t>13. Recommended Immediate Actions</w:t>
      </w:r>
    </w:p>
    <w:p>
      <w:pPr>
        <w:pStyle w:val="ListNumber"/>
        <w:spacing w:after="40"/>
      </w:pPr>
      <w:r>
        <w:rPr>
          <w:rFonts w:ascii="Aptos" w:hAnsi="Aptos"/>
          <w:b w:val="0"/>
          <w:sz w:val="20"/>
        </w:rPr>
        <w:t>Create a GPS methodology note covering sales-to-dealer data, sales-to-distributor data, margin assumptions and exceptions.</w:t>
      </w:r>
    </w:p>
    <w:p>
      <w:pPr>
        <w:pStyle w:val="ListNumber"/>
        <w:spacing w:after="40"/>
      </w:pPr>
      <w:r>
        <w:rPr>
          <w:rFonts w:ascii="Aptos" w:hAnsi="Aptos"/>
          <w:b w:val="0"/>
          <w:sz w:val="20"/>
        </w:rPr>
        <w:t>Build one distributor target template with KPI status, UIO basis, GPS stretch, PMS portion, incentive logic and missing data notes.</w:t>
      </w:r>
    </w:p>
    <w:p>
      <w:pPr>
        <w:pStyle w:val="ListNumber"/>
        <w:spacing w:after="40"/>
      </w:pPr>
      <w:r>
        <w:rPr>
          <w:rFonts w:ascii="Aptos" w:hAnsi="Aptos"/>
          <w:b w:val="0"/>
          <w:sz w:val="20"/>
        </w:rPr>
        <w:t>Prepare a PMS approval annex for ITUK showing the GPS stretch and PMS sub-amount separately.</w:t>
      </w:r>
    </w:p>
    <w:p>
      <w:pPr>
        <w:pStyle w:val="ListNumber"/>
        <w:spacing w:after="40"/>
      </w:pPr>
      <w:r>
        <w:rPr>
          <w:rFonts w:ascii="Aptos" w:hAnsi="Aptos"/>
          <w:b w:val="0"/>
          <w:sz w:val="20"/>
        </w:rPr>
        <w:t>Define an incentive evidence requirement that prevents front-loading and proves downstream sales effect.</w:t>
      </w:r>
    </w:p>
    <w:p>
      <w:pPr>
        <w:pStyle w:val="ListNumber"/>
        <w:spacing w:after="40"/>
      </w:pPr>
      <w:r>
        <w:rPr>
          <w:rFonts w:ascii="Aptos" w:hAnsi="Aptos"/>
          <w:b w:val="0"/>
          <w:sz w:val="20"/>
        </w:rPr>
        <w:t>Convert IDS/Kaizen into a distributor action matrix with weak point, proposed action, owner, meeting date, confirmation date and result date.</w:t>
      </w:r>
    </w:p>
    <w:p>
      <w:pPr>
        <w:pStyle w:val="ListNumber"/>
        <w:spacing w:after="40"/>
      </w:pPr>
      <w:r>
        <w:rPr>
          <w:rFonts w:ascii="Aptos" w:hAnsi="Aptos"/>
          <w:b w:val="0"/>
          <w:sz w:val="20"/>
        </w:rPr>
        <w:t>Set up a single project tracker for GPS, PMS, lubricants, IDS/Kaizen and incentives.</w:t>
      </w:r>
    </w:p>
    <w:p>
      <w:r>
        <w:br w:type="page"/>
      </w:r>
    </w:p>
    <w:p>
      <w:pPr>
        <w:pStyle w:val="Heading1"/>
      </w:pPr>
      <w:r>
        <w:t>14. Source Register</w:t>
      </w:r>
    </w:p>
    <w:p>
      <w:r>
        <w:rPr>
          <w:rFonts w:ascii="Aptos" w:hAnsi="Aptos"/>
          <w:b w:val="0"/>
          <w:sz w:val="20"/>
        </w:rPr>
        <w:t>The source IDs below correspond to the Microsoft 365 search and open results used during this conversation. They are included so the report can be checked against the original material.</w:t>
      </w:r>
    </w:p>
    <w:tbl>
      <w:tblPr>
        <w:tblW w:type="auto" w:w="0"/>
        <w:jc w:val="center"/>
        <w:tblLook w:firstColumn="1" w:firstRow="1" w:lastColumn="0" w:lastRow="0" w:noHBand="0" w:noVBand="1" w:val="04A0"/>
      </w:tblPr>
      <w:tblGrid>
        <w:gridCol w:w="5083"/>
        <w:gridCol w:w="5083"/>
      </w:tblGrid>
      <w:tr>
        <w:tc>
          <w:tcPr>
            <w:tcW w:type="dxa" w:w="5083"/>
            <w:vAlign w:val="center"/>
            <w:shd w:fill="1F4E79"/>
          </w:tcPr>
          <w:p>
            <w:pPr>
              <w:spacing w:after="0"/>
            </w:pPr>
            <w:r/>
            <w:r>
              <w:rPr>
                <w:rFonts w:ascii="Aptos" w:hAnsi="Aptos"/>
                <w:b/>
                <w:color w:val="FFFFFF"/>
                <w:sz w:val="16"/>
              </w:rPr>
              <w:t>Source ID</w:t>
            </w:r>
          </w:p>
        </w:tc>
        <w:tc>
          <w:tcPr>
            <w:tcW w:type="dxa" w:w="5083"/>
            <w:vAlign w:val="center"/>
            <w:shd w:fill="1F4E79"/>
          </w:tcPr>
          <w:p>
            <w:pPr>
              <w:spacing w:after="0"/>
            </w:pPr>
            <w:r/>
            <w:r>
              <w:rPr>
                <w:rFonts w:ascii="Aptos" w:hAnsi="Aptos"/>
                <w:b/>
                <w:color w:val="FFFFFF"/>
                <w:sz w:val="16"/>
              </w:rPr>
              <w:t>Item</w:t>
            </w:r>
          </w:p>
        </w:tc>
      </w:tr>
      <w:tr>
        <w:tc>
          <w:tcPr>
            <w:tcW w:type="dxa" w:w="5083"/>
            <w:vAlign w:val="center"/>
          </w:tcPr>
          <w:p>
            <w:pPr>
              <w:spacing w:after="0"/>
            </w:pPr>
            <w:r/>
            <w:r>
              <w:rPr>
                <w:rFonts w:ascii="Aptos" w:hAnsi="Aptos"/>
                <w:b w:val="0"/>
                <w:sz w:val="16"/>
              </w:rPr>
              <w:t>turn2search199</w:t>
            </w:r>
          </w:p>
        </w:tc>
        <w:tc>
          <w:tcPr>
            <w:tcW w:type="dxa" w:w="5083"/>
            <w:vAlign w:val="center"/>
          </w:tcPr>
          <w:p>
            <w:pPr>
              <w:spacing w:after="0"/>
            </w:pPr>
            <w:r/>
            <w:r>
              <w:rPr>
                <w:rFonts w:ascii="Aptos" w:hAnsi="Aptos"/>
                <w:b w:val="0"/>
                <w:sz w:val="16"/>
              </w:rPr>
              <w:t>GPS // Sales to dealer way</w:t>
            </w:r>
          </w:p>
        </w:tc>
      </w:tr>
      <w:tr>
        <w:tc>
          <w:tcPr>
            <w:tcW w:type="dxa" w:w="5083"/>
            <w:vAlign w:val="center"/>
          </w:tcPr>
          <w:p>
            <w:pPr>
              <w:spacing w:after="0"/>
            </w:pPr>
            <w:r/>
            <w:r>
              <w:rPr>
                <w:rFonts w:ascii="Aptos" w:hAnsi="Aptos"/>
                <w:b w:val="0"/>
                <w:sz w:val="16"/>
              </w:rPr>
              <w:t>turn2search200</w:t>
            </w:r>
          </w:p>
        </w:tc>
        <w:tc>
          <w:tcPr>
            <w:tcW w:type="dxa" w:w="5083"/>
            <w:vAlign w:val="center"/>
          </w:tcPr>
          <w:p>
            <w:pPr>
              <w:spacing w:after="0"/>
            </w:pPr>
            <w:r/>
            <w:r>
              <w:rPr>
                <w:rFonts w:ascii="Aptos" w:hAnsi="Aptos"/>
                <w:b w:val="0"/>
                <w:sz w:val="16"/>
              </w:rPr>
              <w:t>oil purchase DBs.xlsx</w:t>
            </w:r>
          </w:p>
        </w:tc>
      </w:tr>
      <w:tr>
        <w:tc>
          <w:tcPr>
            <w:tcW w:type="dxa" w:w="5083"/>
            <w:vAlign w:val="center"/>
          </w:tcPr>
          <w:p>
            <w:pPr>
              <w:spacing w:after="0"/>
            </w:pPr>
            <w:r/>
            <w:r>
              <w:rPr>
                <w:rFonts w:ascii="Aptos" w:hAnsi="Aptos"/>
                <w:b w:val="0"/>
                <w:sz w:val="16"/>
              </w:rPr>
              <w:t>turn2search201</w:t>
            </w:r>
          </w:p>
        </w:tc>
        <w:tc>
          <w:tcPr>
            <w:tcW w:type="dxa" w:w="5083"/>
            <w:vAlign w:val="center"/>
          </w:tcPr>
          <w:p>
            <w:pPr>
              <w:spacing w:after="0"/>
            </w:pPr>
            <w:r/>
            <w:r>
              <w:rPr>
                <w:rFonts w:ascii="Aptos" w:hAnsi="Aptos"/>
                <w:b w:val="0"/>
                <w:sz w:val="16"/>
              </w:rPr>
              <w:t>Requested IML / ITUK PMS Meeting - August 2026</w:t>
            </w:r>
          </w:p>
        </w:tc>
      </w:tr>
      <w:tr>
        <w:tc>
          <w:tcPr>
            <w:tcW w:type="dxa" w:w="5083"/>
            <w:vAlign w:val="center"/>
          </w:tcPr>
          <w:p>
            <w:pPr>
              <w:spacing w:after="0"/>
            </w:pPr>
            <w:r/>
            <w:r>
              <w:rPr>
                <w:rFonts w:ascii="Aptos" w:hAnsi="Aptos"/>
                <w:b w:val="0"/>
                <w:sz w:val="16"/>
              </w:rPr>
              <w:t>turn2search202</w:t>
            </w:r>
          </w:p>
        </w:tc>
        <w:tc>
          <w:tcPr>
            <w:tcW w:type="dxa" w:w="5083"/>
            <w:vAlign w:val="center"/>
          </w:tcPr>
          <w:p>
            <w:pPr>
              <w:spacing w:after="0"/>
            </w:pPr>
            <w:r/>
            <w:r>
              <w:rPr>
                <w:rFonts w:ascii="Aptos" w:hAnsi="Aptos"/>
                <w:b w:val="0"/>
                <w:sz w:val="16"/>
              </w:rPr>
              <w:t>Centralised Purchasing - Lubricant</w:t>
            </w:r>
          </w:p>
        </w:tc>
      </w:tr>
      <w:tr>
        <w:tc>
          <w:tcPr>
            <w:tcW w:type="dxa" w:w="5083"/>
            <w:vAlign w:val="center"/>
          </w:tcPr>
          <w:p>
            <w:pPr>
              <w:spacing w:after="0"/>
            </w:pPr>
            <w:r/>
            <w:r>
              <w:rPr>
                <w:rFonts w:ascii="Aptos" w:hAnsi="Aptos"/>
                <w:b w:val="0"/>
                <w:sz w:val="16"/>
              </w:rPr>
              <w:t>turn2search203</w:t>
            </w:r>
          </w:p>
        </w:tc>
        <w:tc>
          <w:tcPr>
            <w:tcW w:type="dxa" w:w="5083"/>
            <w:vAlign w:val="center"/>
          </w:tcPr>
          <w:p>
            <w:pPr>
              <w:spacing w:after="0"/>
            </w:pPr>
            <w:r/>
            <w:r>
              <w:rPr>
                <w:rFonts w:ascii="Aptos" w:hAnsi="Aptos"/>
                <w:b w:val="0"/>
                <w:sz w:val="16"/>
              </w:rPr>
              <w:t>Minutes ITUK</w:t>
            </w:r>
          </w:p>
        </w:tc>
      </w:tr>
      <w:tr>
        <w:tc>
          <w:tcPr>
            <w:tcW w:type="dxa" w:w="5083"/>
            <w:vAlign w:val="center"/>
          </w:tcPr>
          <w:p>
            <w:pPr>
              <w:spacing w:after="0"/>
            </w:pPr>
            <w:r/>
            <w:r>
              <w:rPr>
                <w:rFonts w:ascii="Aptos" w:hAnsi="Aptos"/>
                <w:b w:val="0"/>
                <w:sz w:val="16"/>
              </w:rPr>
              <w:t>turn2search204</w:t>
            </w:r>
          </w:p>
        </w:tc>
        <w:tc>
          <w:tcPr>
            <w:tcW w:type="dxa" w:w="5083"/>
            <w:vAlign w:val="center"/>
          </w:tcPr>
          <w:p>
            <w:pPr>
              <w:spacing w:after="0"/>
            </w:pPr>
            <w:r/>
            <w:r>
              <w:rPr>
                <w:rFonts w:ascii="Aptos" w:hAnsi="Aptos"/>
                <w:b w:val="0"/>
                <w:sz w:val="16"/>
              </w:rPr>
              <w:t>KPI_targets.xlsx</w:t>
            </w:r>
          </w:p>
        </w:tc>
      </w:tr>
      <w:tr>
        <w:tc>
          <w:tcPr>
            <w:tcW w:type="dxa" w:w="5083"/>
            <w:vAlign w:val="center"/>
          </w:tcPr>
          <w:p>
            <w:pPr>
              <w:spacing w:after="0"/>
            </w:pPr>
            <w:r/>
            <w:r>
              <w:rPr>
                <w:rFonts w:ascii="Aptos" w:hAnsi="Aptos"/>
                <w:b w:val="0"/>
                <w:sz w:val="16"/>
              </w:rPr>
              <w:t>turn2search205</w:t>
            </w:r>
          </w:p>
        </w:tc>
        <w:tc>
          <w:tcPr>
            <w:tcW w:type="dxa" w:w="5083"/>
            <w:vAlign w:val="center"/>
          </w:tcPr>
          <w:p>
            <w:pPr>
              <w:spacing w:after="0"/>
            </w:pPr>
            <w:r/>
            <w:r>
              <w:rPr>
                <w:rFonts w:ascii="Aptos" w:hAnsi="Aptos"/>
                <w:b w:val="0"/>
                <w:sz w:val="16"/>
              </w:rPr>
              <w:t>Action plan FY2027</w:t>
            </w:r>
          </w:p>
        </w:tc>
      </w:tr>
      <w:tr>
        <w:tc>
          <w:tcPr>
            <w:tcW w:type="dxa" w:w="5083"/>
            <w:vAlign w:val="center"/>
          </w:tcPr>
          <w:p>
            <w:pPr>
              <w:spacing w:after="0"/>
            </w:pPr>
            <w:r/>
            <w:r>
              <w:rPr>
                <w:rFonts w:ascii="Aptos" w:hAnsi="Aptos"/>
                <w:b w:val="0"/>
                <w:sz w:val="16"/>
              </w:rPr>
              <w:t>turn2search206</w:t>
            </w:r>
          </w:p>
        </w:tc>
        <w:tc>
          <w:tcPr>
            <w:tcW w:type="dxa" w:w="5083"/>
            <w:vAlign w:val="center"/>
          </w:tcPr>
          <w:p>
            <w:pPr>
              <w:spacing w:after="0"/>
            </w:pPr>
            <w:r/>
            <w:r>
              <w:rPr>
                <w:rFonts w:ascii="Aptos" w:hAnsi="Aptos"/>
                <w:b w:val="0"/>
                <w:sz w:val="16"/>
              </w:rPr>
              <w:t>GPS and the target</w:t>
            </w:r>
          </w:p>
        </w:tc>
      </w:tr>
      <w:tr>
        <w:tc>
          <w:tcPr>
            <w:tcW w:type="dxa" w:w="5083"/>
            <w:vAlign w:val="center"/>
          </w:tcPr>
          <w:p>
            <w:pPr>
              <w:spacing w:after="0"/>
            </w:pPr>
            <w:r/>
            <w:r>
              <w:rPr>
                <w:rFonts w:ascii="Aptos" w:hAnsi="Aptos"/>
                <w:b w:val="0"/>
                <w:sz w:val="16"/>
              </w:rPr>
              <w:t>turn2search208</w:t>
            </w:r>
          </w:p>
        </w:tc>
        <w:tc>
          <w:tcPr>
            <w:tcW w:type="dxa" w:w="5083"/>
            <w:vAlign w:val="center"/>
          </w:tcPr>
          <w:p>
            <w:pPr>
              <w:spacing w:after="0"/>
            </w:pPr>
            <w:r/>
            <w:r>
              <w:rPr>
                <w:rFonts w:ascii="Aptos" w:hAnsi="Aptos"/>
                <w:b w:val="0"/>
                <w:sz w:val="16"/>
              </w:rPr>
              <w:t>Distributors monthly KPIs</w:t>
            </w:r>
          </w:p>
        </w:tc>
      </w:tr>
      <w:tr>
        <w:tc>
          <w:tcPr>
            <w:tcW w:type="dxa" w:w="5083"/>
            <w:vAlign w:val="center"/>
          </w:tcPr>
          <w:p>
            <w:pPr>
              <w:spacing w:after="0"/>
            </w:pPr>
            <w:r/>
            <w:r>
              <w:rPr>
                <w:rFonts w:ascii="Aptos" w:hAnsi="Aptos"/>
                <w:b w:val="0"/>
                <w:sz w:val="16"/>
              </w:rPr>
              <w:t>turn2search209</w:t>
            </w:r>
          </w:p>
        </w:tc>
        <w:tc>
          <w:tcPr>
            <w:tcW w:type="dxa" w:w="5083"/>
            <w:vAlign w:val="center"/>
          </w:tcPr>
          <w:p>
            <w:pPr>
              <w:spacing w:after="0"/>
            </w:pPr>
            <w:r/>
            <w:r>
              <w:rPr>
                <w:rFonts w:ascii="Aptos" w:hAnsi="Aptos"/>
                <w:b w:val="0"/>
                <w:sz w:val="16"/>
              </w:rPr>
              <w:t>UTI MTBP VOL</w:t>
            </w:r>
          </w:p>
        </w:tc>
      </w:tr>
      <w:tr>
        <w:tc>
          <w:tcPr>
            <w:tcW w:type="dxa" w:w="5083"/>
            <w:vAlign w:val="center"/>
          </w:tcPr>
          <w:p>
            <w:pPr>
              <w:spacing w:after="0"/>
            </w:pPr>
            <w:r/>
            <w:r>
              <w:rPr>
                <w:rFonts w:ascii="Aptos" w:hAnsi="Aptos"/>
                <w:b w:val="0"/>
                <w:sz w:val="16"/>
              </w:rPr>
              <w:t>turn2search210</w:t>
            </w:r>
          </w:p>
        </w:tc>
        <w:tc>
          <w:tcPr>
            <w:tcW w:type="dxa" w:w="5083"/>
            <w:vAlign w:val="center"/>
          </w:tcPr>
          <w:p>
            <w:pPr>
              <w:spacing w:after="0"/>
            </w:pPr>
            <w:r/>
            <w:r>
              <w:rPr>
                <w:rFonts w:ascii="Aptos" w:hAnsi="Aptos"/>
                <w:b w:val="0"/>
                <w:sz w:val="16"/>
              </w:rPr>
              <w:t>ISZE-ISZJ sales promotion activity in UK CV market</w:t>
            </w:r>
          </w:p>
        </w:tc>
      </w:tr>
      <w:tr>
        <w:tc>
          <w:tcPr>
            <w:tcW w:type="dxa" w:w="5083"/>
            <w:vAlign w:val="center"/>
          </w:tcPr>
          <w:p>
            <w:pPr>
              <w:spacing w:after="0"/>
            </w:pPr>
            <w:r/>
            <w:r>
              <w:rPr>
                <w:rFonts w:ascii="Aptos" w:hAnsi="Aptos"/>
                <w:b w:val="0"/>
                <w:sz w:val="16"/>
              </w:rPr>
              <w:t>turn2search211</w:t>
            </w:r>
          </w:p>
        </w:tc>
        <w:tc>
          <w:tcPr>
            <w:tcW w:type="dxa" w:w="5083"/>
            <w:vAlign w:val="center"/>
          </w:tcPr>
          <w:p>
            <w:pPr>
              <w:spacing w:after="0"/>
            </w:pPr>
            <w:r/>
            <w:r>
              <w:rPr>
                <w:rFonts w:ascii="Aptos" w:hAnsi="Aptos"/>
                <w:b w:val="0"/>
                <w:sz w:val="16"/>
              </w:rPr>
              <w:t>Prep for IDS Feedback Mtg to DBs</w:t>
            </w:r>
          </w:p>
        </w:tc>
      </w:tr>
      <w:tr>
        <w:tc>
          <w:tcPr>
            <w:tcW w:type="dxa" w:w="5083"/>
            <w:vAlign w:val="center"/>
          </w:tcPr>
          <w:p>
            <w:pPr>
              <w:spacing w:after="0"/>
            </w:pPr>
            <w:r/>
            <w:r>
              <w:rPr>
                <w:rFonts w:ascii="Aptos" w:hAnsi="Aptos"/>
                <w:b w:val="0"/>
                <w:sz w:val="16"/>
              </w:rPr>
              <w:t>turn2search212</w:t>
            </w:r>
          </w:p>
        </w:tc>
        <w:tc>
          <w:tcPr>
            <w:tcW w:type="dxa" w:w="5083"/>
            <w:vAlign w:val="center"/>
          </w:tcPr>
          <w:p>
            <w:pPr>
              <w:spacing w:after="0"/>
            </w:pPr>
            <w:r/>
            <w:r>
              <w:rPr>
                <w:rFonts w:ascii="Aptos" w:hAnsi="Aptos"/>
                <w:b w:val="0"/>
                <w:sz w:val="16"/>
              </w:rPr>
              <w:t>IDS Parts Items / Conference Award</w:t>
            </w:r>
          </w:p>
        </w:tc>
      </w:tr>
      <w:tr>
        <w:tc>
          <w:tcPr>
            <w:tcW w:type="dxa" w:w="5083"/>
            <w:vAlign w:val="center"/>
          </w:tcPr>
          <w:p>
            <w:pPr>
              <w:spacing w:after="0"/>
            </w:pPr>
            <w:r/>
            <w:r>
              <w:rPr>
                <w:rFonts w:ascii="Aptos" w:hAnsi="Aptos"/>
                <w:b w:val="0"/>
                <w:sz w:val="16"/>
              </w:rPr>
              <w:t>turn2search216</w:t>
            </w:r>
          </w:p>
        </w:tc>
        <w:tc>
          <w:tcPr>
            <w:tcW w:type="dxa" w:w="5083"/>
            <w:vAlign w:val="center"/>
          </w:tcPr>
          <w:p>
            <w:pPr>
              <w:spacing w:after="0"/>
            </w:pPr>
            <w:r/>
            <w:r>
              <w:rPr>
                <w:rFonts w:ascii="Aptos" w:hAnsi="Aptos"/>
                <w:b w:val="0"/>
                <w:sz w:val="16"/>
              </w:rPr>
              <w:t>BP sales incentive MOU</w:t>
            </w:r>
          </w:p>
        </w:tc>
      </w:tr>
      <w:tr>
        <w:tc>
          <w:tcPr>
            <w:tcW w:type="dxa" w:w="5083"/>
            <w:vAlign w:val="center"/>
          </w:tcPr>
          <w:p>
            <w:pPr>
              <w:spacing w:after="0"/>
            </w:pPr>
            <w:r/>
            <w:r>
              <w:rPr>
                <w:rFonts w:ascii="Aptos" w:hAnsi="Aptos"/>
                <w:b w:val="0"/>
                <w:sz w:val="16"/>
              </w:rPr>
              <w:t>turn2search217</w:t>
            </w:r>
          </w:p>
        </w:tc>
        <w:tc>
          <w:tcPr>
            <w:tcW w:type="dxa" w:w="5083"/>
            <w:vAlign w:val="center"/>
          </w:tcPr>
          <w:p>
            <w:pPr>
              <w:spacing w:after="0"/>
            </w:pPr>
            <w:r/>
            <w:r>
              <w:rPr>
                <w:rFonts w:ascii="Aptos" w:hAnsi="Aptos"/>
                <w:b w:val="0"/>
                <w:sz w:val="16"/>
              </w:rPr>
              <w:t>Wrap Up PMS documentation</w:t>
            </w:r>
          </w:p>
        </w:tc>
      </w:tr>
      <w:tr>
        <w:tc>
          <w:tcPr>
            <w:tcW w:type="dxa" w:w="5083"/>
            <w:vAlign w:val="center"/>
          </w:tcPr>
          <w:p>
            <w:pPr>
              <w:spacing w:after="0"/>
            </w:pPr>
            <w:r/>
            <w:r>
              <w:rPr>
                <w:rFonts w:ascii="Aptos" w:hAnsi="Aptos"/>
                <w:b w:val="0"/>
                <w:sz w:val="16"/>
              </w:rPr>
              <w:t>turn2search222</w:t>
            </w:r>
          </w:p>
        </w:tc>
        <w:tc>
          <w:tcPr>
            <w:tcW w:type="dxa" w:w="5083"/>
            <w:vAlign w:val="center"/>
          </w:tcPr>
          <w:p>
            <w:pPr>
              <w:spacing w:after="0"/>
            </w:pPr>
            <w:r/>
            <w:r>
              <w:rPr>
                <w:rFonts w:ascii="Aptos" w:hAnsi="Aptos"/>
                <w:b w:val="0"/>
                <w:sz w:val="16"/>
              </w:rPr>
              <w:t>FY25 Actual/Forecast and business plan</w:t>
            </w:r>
          </w:p>
        </w:tc>
      </w:tr>
      <w:tr>
        <w:tc>
          <w:tcPr>
            <w:tcW w:type="dxa" w:w="5083"/>
            <w:vAlign w:val="center"/>
          </w:tcPr>
          <w:p>
            <w:pPr>
              <w:spacing w:after="0"/>
            </w:pPr>
            <w:r/>
            <w:r>
              <w:rPr>
                <w:rFonts w:ascii="Aptos" w:hAnsi="Aptos"/>
                <w:b w:val="0"/>
                <w:sz w:val="16"/>
              </w:rPr>
              <w:t>turn1search110</w:t>
            </w:r>
          </w:p>
        </w:tc>
        <w:tc>
          <w:tcPr>
            <w:tcW w:type="dxa" w:w="5083"/>
            <w:vAlign w:val="center"/>
          </w:tcPr>
          <w:p>
            <w:pPr>
              <w:spacing w:after="0"/>
            </w:pPr>
            <w:r/>
            <w:r>
              <w:rPr>
                <w:rFonts w:ascii="Aptos" w:hAnsi="Aptos"/>
                <w:b w:val="0"/>
                <w:sz w:val="16"/>
              </w:rPr>
              <w:t>IDS Kaizen Proposal meeting</w:t>
            </w:r>
          </w:p>
        </w:tc>
      </w:tr>
      <w:tr>
        <w:tc>
          <w:tcPr>
            <w:tcW w:type="dxa" w:w="5083"/>
            <w:vAlign w:val="center"/>
          </w:tcPr>
          <w:p>
            <w:pPr>
              <w:spacing w:after="0"/>
            </w:pPr>
            <w:r/>
            <w:r>
              <w:rPr>
                <w:rFonts w:ascii="Aptos" w:hAnsi="Aptos"/>
                <w:b w:val="0"/>
                <w:sz w:val="16"/>
              </w:rPr>
              <w:t>turn1search114</w:t>
            </w:r>
          </w:p>
        </w:tc>
        <w:tc>
          <w:tcPr>
            <w:tcW w:type="dxa" w:w="5083"/>
            <w:vAlign w:val="center"/>
          </w:tcPr>
          <w:p>
            <w:pPr>
              <w:spacing w:after="0"/>
            </w:pPr>
            <w:r/>
            <w:r>
              <w:rPr>
                <w:rFonts w:ascii="Aptos" w:hAnsi="Aptos"/>
                <w:b w:val="0"/>
                <w:sz w:val="16"/>
              </w:rPr>
              <w:t>GPS and KPI meeting</w:t>
            </w:r>
          </w:p>
        </w:tc>
      </w:tr>
      <w:tr>
        <w:tc>
          <w:tcPr>
            <w:tcW w:type="dxa" w:w="5083"/>
            <w:vAlign w:val="center"/>
          </w:tcPr>
          <w:p>
            <w:pPr>
              <w:spacing w:after="0"/>
            </w:pPr>
            <w:r/>
            <w:r>
              <w:rPr>
                <w:rFonts w:ascii="Aptos" w:hAnsi="Aptos"/>
                <w:b w:val="0"/>
                <w:sz w:val="16"/>
              </w:rPr>
              <w:t>turn1search117</w:t>
            </w:r>
          </w:p>
        </w:tc>
        <w:tc>
          <w:tcPr>
            <w:tcW w:type="dxa" w:w="5083"/>
            <w:vAlign w:val="center"/>
          </w:tcPr>
          <w:p>
            <w:pPr>
              <w:spacing w:after="0"/>
            </w:pPr>
            <w:r/>
            <w:r>
              <w:rPr>
                <w:rFonts w:ascii="Aptos" w:hAnsi="Aptos"/>
                <w:b w:val="0"/>
                <w:sz w:val="16"/>
              </w:rPr>
              <w:t>GPS follow up meeting</w:t>
            </w:r>
          </w:p>
        </w:tc>
      </w:tr>
      <w:tr>
        <w:tc>
          <w:tcPr>
            <w:tcW w:type="dxa" w:w="5083"/>
            <w:vAlign w:val="center"/>
          </w:tcPr>
          <w:p>
            <w:pPr>
              <w:spacing w:after="0"/>
            </w:pPr>
            <w:r/>
            <w:r>
              <w:rPr>
                <w:rFonts w:ascii="Aptos" w:hAnsi="Aptos"/>
                <w:b w:val="0"/>
                <w:sz w:val="16"/>
              </w:rPr>
              <w:t>turn1search53</w:t>
            </w:r>
          </w:p>
        </w:tc>
        <w:tc>
          <w:tcPr>
            <w:tcW w:type="dxa" w:w="5083"/>
            <w:vAlign w:val="center"/>
          </w:tcPr>
          <w:p>
            <w:pPr>
              <w:spacing w:after="0"/>
            </w:pPr>
            <w:r/>
            <w:r>
              <w:rPr>
                <w:rFonts w:ascii="Aptos" w:hAnsi="Aptos"/>
                <w:b w:val="0"/>
                <w:sz w:val="16"/>
              </w:rPr>
              <w:t>ISZE_ITUK_PMS_TripReport_Apr2026</w:t>
            </w:r>
          </w:p>
        </w:tc>
      </w:tr>
    </w:tbl>
    <w:p/>
    <w:p>
      <w:r>
        <w:rPr>
          <w:rFonts w:ascii="Aptos" w:hAnsi="Aptos"/>
          <w:b w:val="0"/>
          <w:color w:val="646464"/>
          <w:sz w:val="16"/>
        </w:rPr>
        <w:t>Source IDs: turn2search199, turn2search200, turn2search201, turn2search202, turn2search203, turn2search204, turn2search205, turn2search206, turn2search208, turn2search209, turn2search210, turn2search211, turn2search212, turn2search216, turn2search217, turn2search222, turn1search110, turn1search114, turn1search117, turn1search53.</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Jerome Van Der Pluym | 30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Masumi Hayakawa Strategic Communications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2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eastAsia="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eastAsia="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eastAsia="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eastAsia="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eastAsia="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eastAsia="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Aptos"/>
    </w:rPr>
  </w:style>
  <w:style w:type="paragraph" w:styleId="BodyText">
    <w:name w:val="Body Text"/>
    <w:basedOn w:val="Normal"/>
    <w:link w:val="BodyTextChar"/>
    <w:uiPriority w:val="99"/>
    <w:unhideWhenUsed/>
    <w:rsid w:val="00AA1D8D"/>
    <w:pPr>
      <w:spacing w:after="120"/>
    </w:pPr>
    <w:rPr>
      <w:rFonts w:ascii="Aptos" w:hAnsi="Aptos" w:eastAsia="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eastAsia="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eastAsia="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eastAsia="Aptos"/>
    </w:rPr>
  </w:style>
  <w:style w:type="paragraph" w:styleId="List2">
    <w:name w:val="List 2"/>
    <w:basedOn w:val="Normal"/>
    <w:uiPriority w:val="99"/>
    <w:unhideWhenUsed/>
    <w:rsid w:val="00326F90"/>
    <w:pPr>
      <w:ind w:left="720" w:hanging="360"/>
      <w:contextualSpacing/>
    </w:pPr>
    <w:rPr>
      <w:rFonts w:ascii="Aptos" w:hAnsi="Aptos" w:eastAsia="Aptos"/>
    </w:rPr>
  </w:style>
  <w:style w:type="paragraph" w:styleId="List3">
    <w:name w:val="List 3"/>
    <w:basedOn w:val="Normal"/>
    <w:uiPriority w:val="99"/>
    <w:unhideWhenUsed/>
    <w:rsid w:val="00326F90"/>
    <w:pPr>
      <w:ind w:left="1080" w:hanging="360"/>
      <w:contextualSpacing/>
    </w:pPr>
    <w:rPr>
      <w:rFonts w:ascii="Aptos" w:hAnsi="Aptos" w:eastAsia="Aptos"/>
    </w:r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rPr>
      <w:rFonts w:ascii="Aptos" w:hAnsi="Aptos" w:eastAsia="Aptos"/>
    </w:rPr>
  </w:style>
  <w:style w:type="paragraph" w:styleId="ListBullet3">
    <w:name w:val="List Bullet 3"/>
    <w:basedOn w:val="Normal"/>
    <w:uiPriority w:val="99"/>
    <w:unhideWhenUsed/>
    <w:rsid w:val="00326F90"/>
    <w:pPr>
      <w:numPr>
        <w:numId w:val="3"/>
      </w:numPr>
      <w:contextualSpacing/>
    </w:pPr>
    <w:rPr>
      <w:rFonts w:ascii="Aptos" w:hAnsi="Aptos" w:eastAsia="Aptos"/>
    </w:r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rPr>
      <w:rFonts w:ascii="Aptos" w:hAnsi="Aptos" w:eastAsia="Aptos"/>
    </w:rPr>
  </w:style>
  <w:style w:type="paragraph" w:styleId="ListNumber3">
    <w:name w:val="List Number 3"/>
    <w:basedOn w:val="Normal"/>
    <w:uiPriority w:val="99"/>
    <w:unhideWhenUsed/>
    <w:rsid w:val="0029639D"/>
    <w:pPr>
      <w:numPr>
        <w:numId w:val="7"/>
      </w:numPr>
      <w:contextualSpacing/>
    </w:pPr>
    <w:rPr>
      <w:rFonts w:ascii="Aptos" w:hAnsi="Aptos" w:eastAsia="Aptos"/>
    </w:rPr>
  </w:style>
  <w:style w:type="paragraph" w:styleId="ListContinue">
    <w:name w:val="List Continue"/>
    <w:basedOn w:val="Normal"/>
    <w:uiPriority w:val="99"/>
    <w:unhideWhenUsed/>
    <w:rsid w:val="0029639D"/>
    <w:pPr>
      <w:spacing w:after="120"/>
      <w:ind w:left="360"/>
      <w:contextualSpacing/>
    </w:pPr>
    <w:rPr>
      <w:rFonts w:ascii="Aptos" w:hAnsi="Aptos" w:eastAsia="Aptos"/>
    </w:rPr>
  </w:style>
  <w:style w:type="paragraph" w:styleId="ListContinue2">
    <w:name w:val="List Continue 2"/>
    <w:basedOn w:val="Normal"/>
    <w:uiPriority w:val="99"/>
    <w:unhideWhenUsed/>
    <w:rsid w:val="0029639D"/>
    <w:pPr>
      <w:spacing w:after="120"/>
      <w:ind w:left="720"/>
      <w:contextualSpacing/>
    </w:pPr>
    <w:rPr>
      <w:rFonts w:ascii="Aptos" w:hAnsi="Aptos" w:eastAsia="Aptos"/>
    </w:rPr>
  </w:style>
  <w:style w:type="paragraph" w:styleId="ListContinue3">
    <w:name w:val="List Continue 3"/>
    <w:basedOn w:val="Normal"/>
    <w:uiPriority w:val="99"/>
    <w:unhideWhenUsed/>
    <w:rsid w:val="0029639D"/>
    <w:pPr>
      <w:spacing w:after="120"/>
      <w:ind w:left="1080"/>
      <w:contextualSpacing/>
    </w:pPr>
    <w:rPr>
      <w:rFonts w:ascii="Aptos" w:hAnsi="Aptos" w:eastAsia="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eastAsia="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eastAsia="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eastAsia="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eastAsia="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Jerome Van Der Pluym</dc:creator>
  <keywords/>
  <dc:description>generated by python-docx</dc:description>
  <lastModifiedBy>Jerome Van Der Pluym</lastModifiedBy>
  <revision>1</revision>
  <dcterms:created xsi:type="dcterms:W3CDTF">2026-07-30T05:26:33.8451415Z</dcterms:created>
  <dcterms:modified xsi:type="dcterms:W3CDTF">2026-07-30T05:26:33.8451415Z</dcterms:modified>
  <category/>
</coreProperties>
</file>