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Meeting Minutes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Isuzu / Astara WE Business Review</w:t>
      </w:r>
    </w:p>
    <w:p>
      <w:pPr>
        <w:spacing w:after="40"/>
      </w:pPr>
      <w:r>
        <w:t xml:space="preserve">Date: August 12, 2026, 12:05 PM   |   Duration: 44m 21s</w:t>
      </w:r>
    </w:p>
    <w:p>
      <w:pPr>
        <w:spacing w:after="40"/>
      </w:pPr>
      <w:r>
        <w:t xml:space="preserve">Attendees: Jerome Van Der Pluym (Isuzu ISZE), Bavo Jacobs (Astara WE), Bart Symons (Isuzu — EDI/Training)</w:t>
      </w:r>
    </w:p>
    <w:p>
      <w:pPr>
        <w:spacing w:after="280"/>
      </w:pPr>
      <w:r>
        <w:rPr>
          <w:i/>
          <w:iCs/>
          <w:color w:val="666666"/>
          <w:sz w:val="20"/>
          <w:szCs w:val="20"/>
        </w:rPr>
        <w:t xml:space="preserve">Source: auto-generated Teams transcript (Dutch/English speech-to-text, unedited). A few terms are noted as ambiguous where the transcript quality made them unclear.</w:t>
      </w:r>
    </w:p>
    <w:p>
      <w:pPr>
        <w:pStyle w:val="Heading2"/>
        <w:spacing w:after="100" w:before="240"/>
      </w:pPr>
      <w:r>
        <w:t xml:space="preserve">1. Stock &amp; IT Recovery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Bavo: last year’s IT migration issues (felt through Apr–Jul) are now largely resolved. Stock is being stabilized/normalized rather than fine-tuned; some catch-up ordering done in spring.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Astara has shifted toward holding more own stock and less VOR (vehicle-off-road / urgent) ordering.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Jerome: confirmed Isuzu also sees this shift; noted the cost benefit for Astara of avoiding the ~7% VOR surcharge.</w:t>
      </w:r>
    </w:p>
    <w:p>
      <w:pPr>
        <w:pStyle w:val="Heading2"/>
        <w:spacing w:after="100" w:before="240"/>
      </w:pPr>
      <w:r>
        <w:t xml:space="preserve">2. Sales vs. Targets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Astara on/above target for April, May, June (fiscal-year-end push carried through).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 (brake) parts sales declining — flagged as a known structural pricing issue, not new.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Injectors also softening.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Sharp rise noted in windscreens — Bavo attributed part of this to bodyshop/glass sales bundled through dealers, not pure parts sales.</w:t>
      </w:r>
    </w:p>
    <w:p>
      <w:pPr>
        <w:pStyle w:val="Heading2"/>
        <w:spacing w:after="100" w:before="240"/>
      </w:pPr>
      <w:r>
        <w:t xml:space="preserve">3. Genuine-Parts Target Methodology (Car Parc Based)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Isuzu is moving toward setting distributor targets based on estimated vehicle parc rather than only historical sales, starting this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Draft assumption: ~€260/vehicle/year, based on ~10,000 total parc units (Belgium + Poland + Netherlands), sourced partly from Poland government registration data (10-year lifecycle assumption).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 pushed back on the parc estimate: Belgium realistic parc is closer to ~4,000 units (not ~8,000), Poland ~3,100; Netherlands/Luxembourg negligible. On this basis Astara’s actual genuine-parts share (GBS) is understated — the current 70–76% baseline may be roughly half the real figure.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Resulting stretch target discussed: +1.8 percentage points GBS ≈ +€43k, bringing total to ~€2,340,000. This is on top of the existing standard business-plan target (unaffected).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incentive/bonus confirmed yet for the stretch target — requested from Isuzu management but not yet approved; Jerome expects clarity by end of August.</w:t>
      </w:r>
    </w:p>
    <w:p>
      <w:pPr>
        <w:pStyle w:val="Heading2"/>
        <w:spacing w:after="100" w:before="240"/>
      </w:pPr>
      <w:r>
        <w:t xml:space="preserve">4. Service Parts Performance vs. Network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Astara performs at or above network average on most filter categories.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flagged gaps: fuel/oil filters and brake parts, both below network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Jerome to check whether this correlates with low uptake of BVP (Best Value Parts, Isuzu’s second-tier line, ~25–35% cheaper, near-equivalent quality) and will send a full genuine-vs-BVP comparison table.</w:t>
      </w:r>
    </w:p>
    <w:p>
      <w:pPr>
        <w:pStyle w:val="Heading2"/>
        <w:spacing w:after="100" w:before="240"/>
      </w:pPr>
      <w:r>
        <w:t xml:space="preserve">5. Dealer Standards / Audit Tool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5-section dealer audit results shared: network-wide average 78.6% (self-assessed by dealers), 3 dealers flagged as needing attention.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tool demoed: dealer scoring by section, heatmap by region, offline dashboard with underlying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Bavo: very interested; wants to review internally and share with Astara’s regional/field team (sales + parts) to target coaching, incl. dealers suspected of inflating self-assessment scores.</w:t>
      </w:r>
    </w:p>
    <w:p>
      <w:pPr>
        <w:pStyle w:val="Heading2"/>
        <w:spacing w:after="100" w:before="240"/>
      </w:pPr>
      <w:r>
        <w:t xml:space="preserve">6. Special Pricing (SP) Process — Replaces Old Campaign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Isuzu can no longer run blanket price campaigns (management restriction); replacing with a distributor-initiated SP process: Astara compiles a list of specific pain-point parts with a proposed target price (typically 20–30% below current), Isuzu takes this to its supplier/Asia for negotiation (longer process for Asia-sourced items).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alongside the price ask: a 12-month forecast/commitment. Isuzu’s minimum expectation is that a requested price cut is matched by at least an equivalent volume increase (e.g., 15% discount → minimum 15% more volume) — needed to get management sign-off.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Currently working this model with 2 other distributors successfully; Isuzu wants to extend it to Astara.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Bavo’s concern: SP is reactive/piecemeal; the brake-parts pricing problem is known and structural across the whole chain — he wants Isuzu to address it at the root (supplier negotiation) rather than distributor-by-distributor SP requests. Jerome acknowledged this and said Isuzu may pursue it centrally given how widespread the issue is.</w:t>
      </w:r>
    </w:p>
    <w:p>
      <w:pPr>
        <w:pStyle w:val="Heading2"/>
        <w:spacing w:after="100" w:before="240"/>
      </w:pPr>
      <w:r>
        <w:t xml:space="preserve">7. Repair &amp; Maintenance Contracts (RMC) / Tenders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Poland: tenders are significant (large government/fleet customers, currently pursuing one large tender); long lead times have caused missed opportunities before.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Belgium: tender market for pickups is small; aftersales is rarely involved in the tendering process. Bavo to check with sales/loyalty team on current practice; at least one dealer has offered RMC via an external party (status unconfirmed).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Bart Symons: Isuzu/Astara global rollout of RMC is in progress with two external partner candidates (European-experienced RMC support providers who carry the financial risk, not Isuzu/Astara). Bart to send contact details to Bavo; Bavo to pass internally to the loyalty team, no commitment made.</w:t>
      </w:r>
    </w:p>
    <w:p>
      <w:pPr>
        <w:pStyle w:val="Heading2"/>
        <w:spacing w:after="100" w:before="240"/>
      </w:pPr>
      <w:r>
        <w:t xml:space="preserve">8. Sell-Out Data Request (Isuzu → Astara)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Isuzu requests monthly dealer-level sell-out data: invoice date, part number, quantity only — explicitly no pricing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Purpose: (1) enables Isuzu’s own sell-in/sell-out and stocking-policy analysis across distributors; (2) faster reaction to demand spikes (place orders with Thailand earlier given long lead times).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Bavo: no major objection in principle, will confirm internally with director; cannot provide history prior to current system/program (from ~May 2025) — going further back would take ~4x the effort.</w:t>
      </w:r>
    </w:p>
    <w:p>
      <w:pPr>
        <w:pStyle w:val="Heading2"/>
        <w:spacing w:after="100" w:before="240"/>
      </w:pPr>
      <w:r>
        <w:t xml:space="preserve">9. Direct Stock Orders from Thailand (Production Order)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still available: direct production-order stock replenishment from Thailand at a 3% discount, ~3-month lead time — suited to fast-movers with stable, plannable demand. Used by larger distributors (e.g. UK).</w:t>
      </w:r>
    </w:p>
    <w:p>
      <w:pPr>
        <w:pStyle w:val="Heading2"/>
        <w:spacing w:after="100" w:before="240"/>
      </w:pPr>
      <w:r>
        <w:t xml:space="preserve">10. Data Quality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Bavo: current monthly data feed to Isuzu is not yet fully clean; improving gradually but slowly.</w:t>
      </w:r>
    </w:p>
    <w:p>
      <w:pPr>
        <w:pStyle w:val="Heading2"/>
        <w:spacing w:after="100" w:before="240"/>
      </w:pPr>
      <w:r>
        <w:t xml:space="preserve">11. Parts Training Program (Bart Symons)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modular parts training rolled out (first module: Equip basics, ~30 min + test) — aimed at reducing reliance on re-training new hires via dealership visits.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Bavo: link was received and shared internally/with the network; unclear how much uptake there’s been — to check completion/response rate internally (owner: colleague Erwin).</w:t>
      </w:r>
    </w:p>
    <w:p>
      <w:pPr>
        <w:pStyle w:val="Heading2"/>
        <w:spacing w:after="100" w:before="240"/>
      </w:pPr>
      <w:r>
        <w:t xml:space="preserve">12. EDI / Order Types Refresher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Bart: EDI/order-type refresher split into 3 sessions (to raise awareness of underused EDI capabilities) — one held end of July, next Aug 29, another Sept 23; reminder sent last week.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Also discussed “Invoy” — daily email confirmation process for order tracking, sent ~2 days ahead. Bart to resend related info to Bavo.</w:t>
      </w:r>
    </w:p>
    <w:p>
      <w:pPr>
        <w:pStyle w:val="Heading2"/>
        <w:spacing w:after="100" w:before="240"/>
      </w:pPr>
      <w:r>
        <w:t xml:space="preserve">13. Wrap-Up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Jerome: Teams auto-transcript will be available ~5–10 min after the call; Astara free to forward for meeting-minutes purposes.</w:t>
      </w:r>
    </w:p>
    <w:p>
      <w:pPr>
        <w:pStyle w:val="Heading1"/>
        <w:spacing w:after="120" w:before="320"/>
      </w:pPr>
      <w:r>
        <w:t xml:space="preserve">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1411"/>
        <w:gridCol w:w="6250"/>
        <w:gridCol w:w="1814"/>
      </w:tblGrid>
      <w:tr>
        <w:trPr>
          <w:tblHeader/>
        </w:trPr>
        <w:tc>
          <w:tcPr>
            <w:tcW w:type="dxa" w:w="60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411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6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1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Due / Notes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Jerome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Investigate why BVP (oil/fuel filter) uptake is low at Astara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ASAP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Jerome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Send full genuine-parts vs. BVP comparison table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Shortly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Jerome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Confirm stretch-target incentive approval status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End of August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Jerome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Consider central/structural supplier negotiation on brake-parts pricing (raised by Bavo)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internally why fuel/oil filters underperform network average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Review dealer-standards audit tool internally, share with regional/field team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Compile break-parts (and other pain-point) list with target prices + 12-month volume commitment for SP submission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Open, initiative with Astara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Confirm with director whether monthly sell-out data (part no., invoice date, qty — no pricing) can be shared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Bart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Send RMC external-partner contact details to Bavo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Shortly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RMC tender practice / dealer involvement with sales &amp; loyalty team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Check parts-training (Equip module) completion/response internally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Bart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Resend EDI order-types training reminder + Invoy info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Shortly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Bavo (Astara)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Have procurement team attend upcoming EDI refresher (Sept 23) to check for unused capabilities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Sept 23</w:t>
            </w:r>
          </w:p>
        </w:tc>
      </w:tr>
      <w:tr>
        <w:tc>
          <w:tcPr>
            <w:tcW w:type="dxa" w:w="60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41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Jerome (Isuzu)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Forward official Teams meeting transcript</w:t>
            </w:r>
          </w:p>
        </w:tc>
        <w:tc>
          <w:tcPr>
            <w:tcW w:type="dxa" w:w="181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Same day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2026-08-12T14:31:37.240Z</dcterms:created>
  <dcterms:modified xsi:type="dcterms:W3CDTF">2026-08-12T14:31:37.241Z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