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888888"/>
          <w:sz w:val="20"/>
          <w:szCs w:val="20"/>
        </w:rPr>
        <w:t xml:space="preserve">INTERNAL PROPOSAL</w:t>
      </w:r>
    </w:p>
    <w:p>
      <w:pPr>
        <w:spacing w:after="80" w:before="0"/>
      </w:pPr>
      <w:r>
        <w:rPr>
          <w:rFonts w:ascii="Arial" w:cs="Arial" w:eastAsia="Arial" w:hAnsi="Arial"/>
          <w:b/>
          <w:bCs/>
          <w:color w:val="1F4E79"/>
          <w:sz w:val="36"/>
          <w:szCs w:val="36"/>
        </w:rPr>
        <w:t xml:space="preserve">SPA Approval Delegation — Accounts ≤10k Turnover</w:t>
      </w:r>
    </w:p>
    <w:p>
      <w:pPr>
        <w:spacing w:after="200" w:before="0"/>
      </w:pPr>
      <w:r>
        <w:rPr>
          <w:rFonts w:ascii="Arial" w:cs="Arial" w:eastAsia="Arial" w:hAnsi="Arial"/>
          <w:color w:val="555555"/>
          <w:sz w:val="22"/>
          <w:szCs w:val="22"/>
        </w:rPr>
        <w:t xml:space="preserve">Proposal for sign-off authority below Yoshimoto-san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To</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Masumi Hayakawa, Director — Parts &amp; Aftersales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From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Parts &amp; Aftersales Strategy</w:t>
            </w:r>
          </w:p>
        </w:tc>
      </w:tr>
      <w:tr>
        <w:tc>
          <w:tcPr>
            <w:tcW w:type="dxa" w:w="30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12 March 2026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for discussion</w:t>
            </w:r>
          </w:p>
        </w:tc>
      </w:tr>
    </w:tbl>
    <w:p>
      <w:pPr>
        <w:spacing w:after="80" w:before="80"/>
      </w:pPr>
      <w:r>
        <w:t xml:space="preserve"/>
      </w:r>
    </w:p>
    <w:p>
      <w:pPr>
        <w:pStyle w:val="Heading1"/>
        <w:spacing w:after="160" w:before="320"/>
      </w:pPr>
      <w:r>
        <w:rPr>
          <w:rFonts w:ascii="Arial" w:cs="Arial" w:eastAsia="Arial" w:hAnsi="Arial"/>
          <w:b/>
          <w:bCs/>
          <w:sz w:val="28"/>
          <w:szCs w:val="28"/>
        </w:rPr>
        <w:t xml:space="preserve">1. Background</w:t>
      </w:r>
    </w:p>
    <w:p>
      <w:pPr>
        <w:spacing w:after="80" w:before="80"/>
        <w:jc w:val="both"/>
      </w:pPr>
      <w:r>
        <w:rPr>
          <w:rFonts w:ascii="Arial" w:cs="Arial" w:eastAsia="Arial" w:hAnsi="Arial"/>
          <w:sz w:val="22"/>
          <w:szCs w:val="22"/>
        </w:rPr>
        <w:t xml:space="preserve">Since the SPA process was revised in summer 2024, all special price agreements — regardless of size — require sign-off from Yoshimoto-san. This was appropriate as a stabilising measure following the process change, but in practice it has created a bottleneck for the lower end of the SPA volume band.</w:t>
      </w:r>
    </w:p>
    <w:p>
      <w:pPr>
        <w:spacing w:after="80" w:before="80"/>
      </w:pPr>
      <w:r>
        <w:t xml:space="preserve"/>
      </w:r>
    </w:p>
    <w:p>
      <w:pPr>
        <w:spacing w:after="80" w:before="80"/>
        <w:jc w:val="both"/>
      </w:pPr>
      <w:r>
        <w:rPr>
          <w:rFonts w:ascii="Arial" w:cs="Arial" w:eastAsia="Arial" w:hAnsi="Arial"/>
          <w:sz w:val="22"/>
          <w:szCs w:val="22"/>
        </w:rPr>
        <w:t xml:space="preserve">Distributors managing smaller accounts (under €10k annual parts turnover) are waiting days or weeks for responses on price deviations that are operationally routine. The commercial risk on these cases is low, but the relationship cost is real: delays signal that ISZE is slow to react, and distributors begin to manage around us rather than with us.</w:t>
      </w:r>
    </w:p>
    <w:p>
      <w:pPr>
        <w:spacing w:after="80" w:before="80"/>
      </w:pPr>
      <w:r>
        <w:t xml:space="preserve"/>
      </w:r>
    </w:p>
    <w:p>
      <w:pPr>
        <w:spacing w:after="80" w:before="80"/>
        <w:jc w:val="both"/>
      </w:pPr>
      <w:r>
        <w:rPr>
          <w:rFonts w:ascii="Arial" w:cs="Arial" w:eastAsia="Arial" w:hAnsi="Arial"/>
          <w:sz w:val="22"/>
          <w:szCs w:val="22"/>
        </w:rPr>
        <w:t xml:space="preserve">There has been only one overstock campaign since the process change, which means distributors have had limited opportunities to clear aged stock or test the new process in a positive context. The SPA channel is currently associated with friction, not support.</w:t>
      </w:r>
    </w:p>
    <w:p>
      <w:pPr>
        <w:spacing w:after="80" w:before="80"/>
      </w:pPr>
      <w:r>
        <w:t xml:space="preserve"/>
      </w:r>
    </w:p>
    <w:p>
      <w:pPr>
        <w:pStyle w:val="Heading1"/>
        <w:spacing w:after="160" w:before="320"/>
      </w:pPr>
      <w:r>
        <w:rPr>
          <w:rFonts w:ascii="Arial" w:cs="Arial" w:eastAsia="Arial" w:hAnsi="Arial"/>
          <w:b/>
          <w:bCs/>
          <w:sz w:val="28"/>
          <w:szCs w:val="28"/>
        </w:rPr>
        <w:t xml:space="preserve">2. The Proposal</w:t>
      </w:r>
    </w:p>
    <w:p>
      <w:pPr>
        <w:spacing w:after="80" w:before="80"/>
        <w:jc w:val="both"/>
      </w:pPr>
      <w:r>
        <w:rPr>
          <w:rFonts w:ascii="Arial" w:cs="Arial" w:eastAsia="Arial" w:hAnsi="Arial"/>
          <w:sz w:val="22"/>
          <w:szCs w:val="22"/>
        </w:rPr>
        <w:t xml:space="preserve">Delegate SPA approval authority to Masumi Hayakawa for all accounts with annual parts turnover at or below €10,000, subject to the following conditions:</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Discount depth within pre-approved band (to be confirmed — suggested: up to 15% off list, or existing grid floor, whichever is less restrictive)</w:t>
      </w:r>
    </w:p>
    <w:p>
      <w:pPr>
        <w:pStyle w:val="ListParagraph"/>
        <w:numPr>
          <w:ilvl w:val="0"/>
          <w:numId w:val="2"/>
        </w:numPr>
        <w:spacing w:after="40" w:before="40"/>
      </w:pPr>
      <w:r>
        <w:rPr>
          <w:rFonts w:ascii="Arial" w:cs="Arial" w:eastAsia="Arial" w:hAnsi="Arial"/>
          <w:sz w:val="22"/>
          <w:szCs w:val="22"/>
        </w:rPr>
        <w:t xml:space="preserve">Standard SPA paperwork and audit trail maintained — no changes to documentation requirements</w:t>
      </w:r>
    </w:p>
    <w:p>
      <w:pPr>
        <w:pStyle w:val="ListParagraph"/>
        <w:numPr>
          <w:ilvl w:val="0"/>
          <w:numId w:val="2"/>
        </w:numPr>
        <w:spacing w:after="40" w:before="40"/>
      </w:pPr>
      <w:r>
        <w:rPr>
          <w:rFonts w:ascii="Arial" w:cs="Arial" w:eastAsia="Arial" w:hAnsi="Arial"/>
          <w:sz w:val="22"/>
          <w:szCs w:val="22"/>
        </w:rPr>
        <w:t xml:space="preserve">Monthly summary report to Yoshimoto-san of all SPAs approved under delegation</w:t>
      </w:r>
    </w:p>
    <w:p>
      <w:pPr>
        <w:pStyle w:val="ListParagraph"/>
        <w:numPr>
          <w:ilvl w:val="0"/>
          <w:numId w:val="2"/>
        </w:numPr>
        <w:spacing w:after="40" w:before="40"/>
      </w:pPr>
      <w:r>
        <w:rPr>
          <w:rFonts w:ascii="Arial" w:cs="Arial" w:eastAsia="Arial" w:hAnsi="Arial"/>
          <w:sz w:val="22"/>
          <w:szCs w:val="22"/>
        </w:rPr>
        <w:t xml:space="preserve">Any SPA outside the turnover threshold or discount band continues to require Yoshimoto-san sign-off as today</w:t>
      </w:r>
    </w:p>
    <w:p>
      <w:pPr>
        <w:pStyle w:val="ListParagraph"/>
        <w:numPr>
          <w:ilvl w:val="0"/>
          <w:numId w:val="2"/>
        </w:numPr>
        <w:spacing w:after="40" w:before="40"/>
      </w:pPr>
      <w:r>
        <w:rPr>
          <w:rFonts w:ascii="Arial" w:cs="Arial" w:eastAsia="Arial" w:hAnsi="Arial"/>
          <w:sz w:val="22"/>
          <w:szCs w:val="22"/>
        </w:rPr>
        <w:t xml:space="preserve">Delegation reviewed after 6 months</w:t>
      </w:r>
    </w:p>
    <w:p>
      <w:pPr>
        <w:spacing w:after="80" w:before="80"/>
      </w:pPr>
      <w:r>
        <w:t xml:space="preserve"/>
      </w:r>
    </w:p>
    <w:p>
      <w:pPr>
        <w:pStyle w:val="Heading1"/>
        <w:spacing w:after="160" w:before="320"/>
      </w:pPr>
      <w:r>
        <w:rPr>
          <w:rFonts w:ascii="Arial" w:cs="Arial" w:eastAsia="Arial" w:hAnsi="Arial"/>
          <w:b/>
          <w:bCs/>
          <w:sz w:val="28"/>
          <w:szCs w:val="28"/>
        </w:rPr>
        <w:t xml:space="preserve">3. Why This Makes Sense</w:t>
      </w:r>
    </w:p>
    <w:p>
      <w:pPr>
        <w:pStyle w:val="Heading2"/>
        <w:spacing w:after="120" w:before="240"/>
      </w:pPr>
      <w:r>
        <w:rPr>
          <w:rFonts w:ascii="Arial" w:cs="Arial" w:eastAsia="Arial" w:hAnsi="Arial"/>
          <w:b/>
          <w:bCs/>
          <w:sz w:val="24"/>
          <w:szCs w:val="24"/>
        </w:rPr>
        <w:t xml:space="preserve">3a. Risk is low on sub-€10k accounts</w:t>
      </w:r>
    </w:p>
    <w:p>
      <w:pPr>
        <w:spacing w:after="80" w:before="80"/>
        <w:jc w:val="both"/>
      </w:pPr>
      <w:r>
        <w:rPr>
          <w:rFonts w:ascii="Arial" w:cs="Arial" w:eastAsia="Arial" w:hAnsi="Arial"/>
          <w:sz w:val="22"/>
          <w:szCs w:val="22"/>
        </w:rPr>
        <w:t xml:space="preserve">The financial exposure on a single SPA for an account under €10k is small. Even at a 15% discount, the maximum annual margin impact per account is under €1,500. This is well within the range of operational decisions that senior managers routinely handle in comparable organisations.</w:t>
      </w:r>
    </w:p>
    <w:p>
      <w:pPr>
        <w:spacing w:after="80" w:before="80"/>
      </w:pPr>
      <w:r>
        <w:t xml:space="preserve"/>
      </w:r>
    </w:p>
    <w:p>
      <w:pPr>
        <w:pStyle w:val="Heading2"/>
        <w:spacing w:after="120" w:before="240"/>
      </w:pPr>
      <w:r>
        <w:rPr>
          <w:rFonts w:ascii="Arial" w:cs="Arial" w:eastAsia="Arial" w:hAnsi="Arial"/>
          <w:b/>
          <w:bCs/>
          <w:sz w:val="24"/>
          <w:szCs w:val="24"/>
        </w:rPr>
        <w:t xml:space="preserve">3b. Speed is the distributor’s primary ask</w:t>
      </w:r>
    </w:p>
    <w:p>
      <w:pPr>
        <w:spacing w:after="80" w:before="80"/>
        <w:jc w:val="both"/>
      </w:pPr>
      <w:r>
        <w:rPr>
          <w:rFonts w:ascii="Arial" w:cs="Arial" w:eastAsia="Arial" w:hAnsi="Arial"/>
          <w:sz w:val="22"/>
          <w:szCs w:val="22"/>
        </w:rPr>
        <w:t xml:space="preserve">Distributor feedback consistently points to response time, not discount depth, as the friction point. The distributors most affected by the current process are not pushing for larger discounts — they want confirmation that ISZE is engaged with their smaller customers. A 48-hour turnaround from Masumi would address this directly.</w:t>
      </w:r>
    </w:p>
    <w:p>
      <w:pPr>
        <w:spacing w:after="80" w:before="80"/>
      </w:pPr>
      <w:r>
        <w:t xml:space="preserve"/>
      </w:r>
    </w:p>
    <w:p>
      <w:pPr>
        <w:pStyle w:val="Heading2"/>
        <w:spacing w:after="120" w:before="240"/>
      </w:pPr>
      <w:r>
        <w:rPr>
          <w:rFonts w:ascii="Arial" w:cs="Arial" w:eastAsia="Arial" w:hAnsi="Arial"/>
          <w:b/>
          <w:bCs/>
          <w:sz w:val="24"/>
          <w:szCs w:val="24"/>
        </w:rPr>
        <w:t xml:space="preserve">3c. It restores the right level of escalation</w:t>
      </w:r>
    </w:p>
    <w:p>
      <w:pPr>
        <w:spacing w:after="80" w:before="80"/>
        <w:jc w:val="both"/>
      </w:pPr>
      <w:r>
        <w:rPr>
          <w:rFonts w:ascii="Arial" w:cs="Arial" w:eastAsia="Arial" w:hAnsi="Arial"/>
          <w:sz w:val="22"/>
          <w:szCs w:val="22"/>
        </w:rPr>
        <w:t xml:space="preserve">The current process treats a €3k parts account the same as a €200k strategic tender. Delegating the smaller tier allows Yoshimoto-san’s attention to be reserved for cases where it genuinely adds value — complex accounts, unusual discount depths, or accounts that cross strategic thresholds.</w:t>
      </w:r>
    </w:p>
    <w:p>
      <w:pPr>
        <w:spacing w:after="80" w:before="80"/>
      </w:pPr>
      <w:r>
        <w:t xml:space="preserve"/>
      </w:r>
    </w:p>
    <w:p>
      <w:pPr>
        <w:pStyle w:val="Heading2"/>
        <w:spacing w:after="120" w:before="240"/>
      </w:pPr>
      <w:r>
        <w:rPr>
          <w:rFonts w:ascii="Arial" w:cs="Arial" w:eastAsia="Arial" w:hAnsi="Arial"/>
          <w:b/>
          <w:bCs/>
          <w:sz w:val="24"/>
          <w:szCs w:val="24"/>
        </w:rPr>
        <w:t xml:space="preserve">3d. Precedent from comparable markets</w:t>
      </w:r>
    </w:p>
    <w:p>
      <w:pPr>
        <w:spacing w:after="80" w:before="80"/>
        <w:jc w:val="both"/>
      </w:pPr>
      <w:r>
        <w:rPr>
          <w:rFonts w:ascii="Arial" w:cs="Arial" w:eastAsia="Arial" w:hAnsi="Arial"/>
          <w:sz w:val="22"/>
          <w:szCs w:val="22"/>
        </w:rPr>
        <w:t xml:space="preserve">Other Isuzu regional entities operate with tiered approval structures for SPAs. This proposal aligns ISZE with standard practice while respecting the existing sign-off culture for higher-value decisions.</w:t>
      </w:r>
    </w:p>
    <w:p>
      <w:pPr>
        <w:spacing w:after="80" w:before="80"/>
      </w:pPr>
      <w:r>
        <w:t xml:space="preserve"/>
      </w:r>
    </w:p>
    <w:p>
      <w:pPr>
        <w:pStyle w:val="Heading1"/>
        <w:spacing w:after="160" w:before="320"/>
      </w:pPr>
      <w:r>
        <w:rPr>
          <w:rFonts w:ascii="Arial" w:cs="Arial" w:eastAsia="Arial" w:hAnsi="Arial"/>
          <w:b/>
          <w:bCs/>
          <w:sz w:val="28"/>
          <w:szCs w:val="28"/>
        </w:rPr>
        <w:t xml:space="preserve">4.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Agree parameters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 turnover threshold (€10k) and discount band with Yoshimoto-san</w:t>
            </w:r>
          </w:p>
        </w:tc>
      </w:tr>
      <w:tr>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Update SPA form</w:t>
            </w:r>
          </w:p>
        </w:tc>
        <w:tc>
          <w:tcPr>
            <w:tcW w:type="dxa" w:w="50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Add checkbox: “Sub-€10k — Masumi sign-off” vs. “Above threshold — MD sign-off”</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Communicate to distributors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note from Masumi to each distributor confirming faster turnaround for small account SPAs</w:t>
            </w:r>
          </w:p>
        </w:tc>
      </w:tr>
      <w:tr>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6-month review</w:t>
            </w:r>
          </w:p>
        </w:tc>
        <w:tc>
          <w:tcPr>
            <w:tcW w:type="dxa" w:w="5026"/>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Report volume, margin impact, and distributor feedback to Yoshimoto-san. Adjust if needed.</w:t>
            </w:r>
          </w:p>
        </w:tc>
      </w:tr>
    </w:tbl>
    <w:p>
      <w:pPr>
        <w:spacing w:after="80" w:before="80"/>
      </w:pPr>
      <w:r>
        <w:t xml:space="preserve"/>
      </w:r>
    </w:p>
    <w:p>
      <w:pPr>
        <w:pStyle w:val="Heading1"/>
        <w:spacing w:after="160" w:before="320"/>
      </w:pPr>
      <w:r>
        <w:rPr>
          <w:rFonts w:ascii="Arial" w:cs="Arial" w:eastAsia="Arial" w:hAnsi="Arial"/>
          <w:b/>
          <w:bCs/>
          <w:sz w:val="28"/>
          <w:szCs w:val="28"/>
        </w:rPr>
        <w:t xml:space="preserve">5. What We Are Not Proposing</w:t>
      </w:r>
    </w:p>
    <w:p>
      <w:pPr>
        <w:spacing w:after="80" w:before="80"/>
        <w:jc w:val="both"/>
      </w:pPr>
      <w:r>
        <w:rPr>
          <w:rFonts w:ascii="Arial" w:cs="Arial" w:eastAsia="Arial" w:hAnsi="Arial"/>
          <w:sz w:val="22"/>
          <w:szCs w:val="22"/>
        </w:rPr>
        <w:t xml:space="preserve">To be clear on scope: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This is not a request to reduce discount transparency or bypass audit requirements</w:t>
      </w:r>
    </w:p>
    <w:p>
      <w:pPr>
        <w:pStyle w:val="ListParagraph"/>
        <w:numPr>
          <w:ilvl w:val="0"/>
          <w:numId w:val="2"/>
        </w:numPr>
        <w:spacing w:after="40" w:before="40"/>
      </w:pPr>
      <w:r>
        <w:rPr>
          <w:rFonts w:ascii="Arial" w:cs="Arial" w:eastAsia="Arial" w:hAnsi="Arial"/>
          <w:sz w:val="22"/>
          <w:szCs w:val="22"/>
        </w:rPr>
        <w:t xml:space="preserve">This is not a blanket delegation — accounts above €10k and discounts outside the agreed band stay with Yoshimoto-san</w:t>
      </w:r>
    </w:p>
    <w:p>
      <w:pPr>
        <w:pStyle w:val="ListParagraph"/>
        <w:numPr>
          <w:ilvl w:val="0"/>
          <w:numId w:val="2"/>
        </w:numPr>
        <w:spacing w:after="40" w:before="40"/>
      </w:pPr>
      <w:r>
        <w:rPr>
          <w:rFonts w:ascii="Arial" w:cs="Arial" w:eastAsia="Arial" w:hAnsi="Arial"/>
          <w:sz w:val="22"/>
          <w:szCs w:val="22"/>
        </w:rPr>
        <w:t xml:space="preserve">This is not permanent — the 6-month review ensures we can tighten or adjust based on what we learn</w:t>
      </w:r>
    </w:p>
    <w:p>
      <w:pPr>
        <w:spacing w:after="80" w:before="80"/>
      </w:pPr>
      <w:r>
        <w:t xml:space="preserve"/>
      </w:r>
    </w:p>
    <w:p>
      <w:pPr>
        <w:pStyle w:val="Heading1"/>
        <w:spacing w:after="160" w:before="320"/>
      </w:pPr>
      <w:r>
        <w:rPr>
          <w:rFonts w:ascii="Arial" w:cs="Arial" w:eastAsia="Arial" w:hAnsi="Arial"/>
          <w:b/>
          <w:bCs/>
          <w:sz w:val="28"/>
          <w:szCs w:val="28"/>
        </w:rPr>
        <w:t xml:space="preserve">6. Request</w:t>
      </w:r>
    </w:p>
    <w:p>
      <w:pPr>
        <w:spacing w:after="80" w:before="80"/>
        <w:jc w:val="both"/>
      </w:pPr>
      <w:r>
        <w:rPr>
          <w:rFonts w:ascii="Arial" w:cs="Arial" w:eastAsia="Arial" w:hAnsi="Arial"/>
          <w:sz w:val="22"/>
          <w:szCs w:val="22"/>
        </w:rPr>
        <w:t xml:space="preserve">We would like to discuss this proposal with Yoshimoto-san at his earliest convenience. If the principle is agreed, Masumi and the strategy team can have a revised SPA form and distributor communication ready within two weeks.</w:t>
      </w:r>
    </w:p>
    <w:p>
      <w:pPr>
        <w:spacing w:after="80" w:before="80"/>
      </w:pPr>
      <w:r>
        <w:t xml:space="preserve"/>
      </w:r>
    </w:p>
    <w:p>
      <w:pPr>
        <w:spacing w:after="80" w:before="80"/>
        <w:jc w:val="both"/>
      </w:pPr>
      <w:r>
        <w:rPr>
          <w:rFonts w:ascii="Arial" w:cs="Arial" w:eastAsia="Arial" w:hAnsi="Arial"/>
          <w:sz w:val="22"/>
          <w:szCs w:val="22"/>
        </w:rPr>
        <w:t xml:space="preserve">The goal is straightforward: faster responses on low-risk cases, better distributor relationships, and Yoshimoto-san’s time focused where it matters most.</w:t>
      </w:r>
    </w:p>
    <w:p>
      <w:pPr>
        <w:spacing w:after="80" w:before="80"/>
      </w:pPr>
      <w:r>
        <w:t xml:space="preserve"/>
      </w:r>
    </w:p>
    <w:p>
      <w:pPr>
        <w:spacing w:after="80" w:before="80"/>
      </w:pPr>
      <w:r>
        <w:t xml:space="preserve"/>
      </w:r>
    </w:p>
    <w:p>
      <w:pPr>
        <w:spacing w:after="40" w:before="200"/>
      </w:pPr>
      <w:r>
        <w:rPr>
          <w:rFonts w:ascii="Arial" w:cs="Arial" w:eastAsia="Arial" w:hAnsi="Arial"/>
          <w:sz w:val="22"/>
          <w:szCs w:val="22"/>
        </w:rPr>
        <w:t xml:space="preserve">___________________________</w:t>
      </w:r>
    </w:p>
    <w:p>
      <w:pPr>
        <w:spacing w:after="80" w:before="80"/>
        <w:jc w:val="both"/>
      </w:pPr>
      <w:r>
        <w:rPr>
          <w:rFonts w:ascii="Arial" w:cs="Arial" w:eastAsia="Arial" w:hAnsi="Arial"/>
          <w:sz w:val="22"/>
          <w:szCs w:val="22"/>
        </w:rPr>
        <w:t xml:space="preserve">Parts &amp; Aftersales Strategy</w:t>
      </w:r>
    </w:p>
    <w:p>
      <w:pPr>
        <w:spacing w:after="80" w:before="80"/>
        <w:jc w:val="both"/>
      </w:pPr>
      <w:r>
        <w:rPr>
          <w:rFonts w:ascii="Arial" w:cs="Arial" w:eastAsia="Arial" w:hAnsi="Arial"/>
          <w:sz w:val="22"/>
          <w:szCs w:val="22"/>
        </w:rPr>
        <w:t xml:space="preserve">Isuzu Europe (ISZE) — Antwerp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2026-03-12T19:24:59.069Z</dcterms:created>
  <dcterms:modified xsi:type="dcterms:W3CDTF">2026-03-12T19:24:59.069Z</dcterms:modified>
</cp:coreProperties>
</file>

<file path=docProps/custom.xml><?xml version="1.0" encoding="utf-8"?>
<Properties xmlns="http://schemas.openxmlformats.org/officeDocument/2006/custom-properties" xmlns:vt="http://schemas.openxmlformats.org/officeDocument/2006/docPropsVTypes"/>
</file>