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 Black" w:hAnsi="Arial Black"/>
          <w:b/>
          <w:color w:val="CC0E1E"/>
          <w:sz w:val="40"/>
        </w:rPr>
        <w:t>ISZE — Data Request to BVDB</w:t>
      </w:r>
    </w:p>
    <w:p>
      <w:pPr>
        <w:spacing w:before="0" w:after="80"/>
      </w:pPr>
      <w:r>
        <w:rPr>
          <w:rFonts w:ascii="Arial" w:hAnsi="Arial"/>
          <w:b w:val="0"/>
          <w:i w:val="0"/>
          <w:color w:val="5A5A5A"/>
          <w:sz w:val="20"/>
        </w:rPr>
        <w:t>Two data extracts needed to correct the AIM model and improve sales demand analysis.</w:t>
      </w:r>
    </w:p>
    <w:p>
      <w:pPr>
        <w:spacing w:before="0" w:after="40"/>
      </w:pPr>
      <w:r>
        <w:rPr>
          <w:rFonts w:ascii="Arial" w:hAnsi="Arial"/>
          <w:b w:val="0"/>
          <w:i/>
          <w:color w:val="5A5A5A"/>
          <w:sz w:val="20"/>
        </w:rPr>
        <w:t>Author: Jerome Van der Pluym  |  VP Sales  |  May 2026  |  INTERNAL</w:t>
      </w:r>
    </w:p>
    <w:p>
      <w:pPr>
        <w:spacing w:after="16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Background — Why these two extracts are needed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The AIM model (Aftermarket Intelligence Model) is ISZE's internal tool for ranking parts by commercial importance, sizing distributor opportunities, and guiding pricing and campaign decisions. It currently runs on Qty x PR00 (standard list price) as its revenue input. This creates two specific, fixable problems: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Problem 1 — Revenue figures are wrong for SPA customers. Israel (UTI and UMI) have Special Price Agreements. The ZPR1 surcharge inflates PR00 upward, but a separate SPA rebate reduces what ISZE actually receives. The field VKWRT in SAP contains the real net amount after all conditions. Without it, Israel distributors are likely mis-scored in AIM, and campaign budgets are based on a number that does not reflect actual revenue.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Problem 2 — Sell-in is not demand. ISZE-to-distributor sell-in is systematically distorted by MOS policy cycles, year-end loading, and promotional buys. A distributor stock snapshot at two points in time (January + December) allows ISZE to calculate distributor sell-out = sell-in minus delta-stock. This converts existing data into a real demand signal, without any new data collection.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BF3"/>
            <w:tcBorders>
              <w:top w:val="single" w:sz="6" w:color="2E7D32"/>
              <w:bottom w:val="single" w:sz="6" w:color="2E7D32"/>
              <w:left w:val="single" w:sz="6" w:color="2E7D32"/>
              <w:right w:val="single" w:sz="6" w:color="2E7D32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Both requests use data that already exists in SAP and Power BI.  </w:t>
            </w:r>
            <w:r>
              <w:rPr>
                <w:rFonts w:ascii="Arial" w:hAnsi="Arial"/>
                <w:sz w:val="20"/>
              </w:rPr>
              <w:t xml:space="preserve"> BVDB does not need to build anything new. These are standard extract requests.</w:t>
            </w:r>
          </w:p>
        </w:tc>
      </w:tr>
    </w:tbl>
    <w:p>
      <w:pPr>
        <w:spacing w:after="80"/>
      </w:pPr>
    </w:p>
    <w:p>
      <w:pPr>
        <w:spacing w:before="320" w:after="120"/>
        <w:ind w:left="170"/>
        <w:shd w:val="clear" w:color="auto" w:fill="CC0E1E"/>
      </w:pPr>
      <w:r>
        <w:rPr>
          <w:rFonts w:ascii="Arial Black" w:hAnsi="Arial Black"/>
          <w:b/>
          <w:color w:val="FFFFFF"/>
          <w:sz w:val="28"/>
        </w:rPr>
        <w:t>Request 1 of 2  —  VKWRT Net Revenue Extract from SAP</w:t>
      </w: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What this is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A SAP billing extract (via transaction VF05N) covering CY2024 and CY2025, with one additional field included: VKWRT (SAP field VBRP-VKWRT). This field contains the net invoiced revenue after all pricing conditions have been applied — discounts, surcharges, and rebates. It is already calculated by SAP on every invoice line. No SAP reconfiguration is needed. BVDB just needs to include it in the extract.</w:t>
      </w: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Why not just use PR00?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3118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PR00  (currently used)</w:t>
            </w:r>
          </w:p>
        </w:tc>
        <w:tc>
          <w:tcPr>
            <w:tcW w:type="dxa" w:w="3685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VKWRT  (requested)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What it represents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Standard list price x quantity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Actual net amount ISZE receives after ALL pricing conditions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Israel — ZPR1 surcharge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rFonts w:ascii="Arial" w:hAnsi="Arial"/>
                <w:b w:val="0"/>
                <w:color w:val="CC0E1E"/>
                <w:sz w:val="18"/>
              </w:rPr>
              <w:t>Inflated upward — ZPR1 adds on top of PR00</w:t>
            </w:r>
          </w:p>
        </w:tc>
        <w:tc>
          <w:tcPr>
            <w:tcW w:type="dxa" w:w="3685"/>
            <w:shd w:val="clear" w:color="auto" w:fill="F8F8F8"/>
          </w:tcPr>
          <w:p>
            <w:r>
              <w:rPr>
                <w:rFonts w:ascii="Arial" w:hAnsi="Arial"/>
                <w:b w:val="0"/>
                <w:color w:val="2E7D32"/>
                <w:sz w:val="18"/>
              </w:rPr>
              <w:t>Correct — surcharge is part of the net calculation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Israel — SPA rebate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CC0E1E"/>
                <w:sz w:val="18"/>
              </w:rPr>
              <w:t>Ignored — rebate not captured in PR00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b w:val="0"/>
                <w:color w:val="2E7D32"/>
                <w:sz w:val="18"/>
              </w:rPr>
              <w:t>Included — rebate reduces VKWRT to the real net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ITUK (no SPA)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Accurate — no structural difference</w:t>
            </w:r>
          </w:p>
        </w:tc>
        <w:tc>
          <w:tcPr>
            <w:tcW w:type="dxa" w:w="3685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Same as PR00, no change expected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Impact on AIM if unresolved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E3B341"/>
                <w:sz w:val="18"/>
              </w:rPr>
              <w:t>Israel may be over- or under-scored. Campaign priorities wrong.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b w:val="0"/>
                <w:color w:val="2E7D32"/>
                <w:sz w:val="18"/>
              </w:rPr>
              <w:t>Scores reflect real ISZE net revenue. Decisions are grounded.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One question for BVDB before sending the extract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  <w:tcBorders>
              <w:top w:val="single" w:sz="6" w:color="E3B341"/>
              <w:bottom w:val="single" w:sz="6" w:color="E3B341"/>
              <w:left w:val="single" w:sz="6" w:color="E3B341"/>
              <w:right w:val="single" w:sz="6" w:color="E3B341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Ask BVDB:  </w:t>
            </w:r>
            <w:r>
              <w:rPr>
                <w:rFonts w:ascii="Arial" w:hAnsi="Arial"/>
                <w:sz w:val="20"/>
              </w:rPr>
              <w:t>"For customers with SPA agreements (Israel: UTI and UMI), are the SPA rebates posted as adjustments to VKWRT on the invoice line itself — or do they come through as separate credit note documents (SAP billing type G2)?"</w:t>
              <w:br/>
              <w:br/>
              <w:t>If inline: F2 invoices only is sufficient for the extract.</w:t>
              <w:br/>
              <w:t>If credit notes: the extract must include F2 invoice lines AND G2 credit memo lines, joined by sold-to party and material number.</w:t>
            </w:r>
          </w:p>
        </w:tc>
      </w:tr>
    </w:tbl>
    <w:p>
      <w:pPr>
        <w:spacing w:after="80"/>
      </w:pP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Exact SAP specification  —  forward this to BVDB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Transaction</w:t>
      </w:r>
    </w:p>
    <w:p>
      <w:pPr>
        <w:spacing w:before="80" w:after="120"/>
        <w:ind w:left="283"/>
        <w:shd w:val="clear" w:color="auto" w:fill="F5F5F5"/>
      </w:pPr>
      <w:r>
        <w:rPr>
          <w:rFonts w:ascii="Courier New" w:hAnsi="Courier New"/>
          <w:color w:val="1A1A1A"/>
          <w:sz w:val="18"/>
        </w:rPr>
        <w:t>VF05N  (billing document list)</w:t>
        <w:br/>
      </w:r>
      <w:r>
        <w:rPr>
          <w:rFonts w:ascii="Courier New" w:hAnsi="Courier New"/>
          <w:color w:val="1A1A1A"/>
          <w:sz w:val="18"/>
        </w:rPr>
        <w:t xml:space="preserve">  Alternative: SE16N on table VBRP joined to VBRK and KONV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Filters</w:t>
      </w:r>
    </w:p>
    <w:p>
      <w:pPr>
        <w:spacing w:before="80" w:after="120"/>
        <w:ind w:left="283"/>
        <w:shd w:val="clear" w:color="auto" w:fill="F5F5F5"/>
      </w:pPr>
      <w:r>
        <w:rPr>
          <w:rFonts w:ascii="Courier New" w:hAnsi="Courier New"/>
          <w:color w:val="1A1A1A"/>
          <w:sz w:val="18"/>
        </w:rPr>
        <w:t>Sales Organisation  :  ISZE  (IE40)</w:t>
        <w:br/>
      </w:r>
      <w:r>
        <w:rPr>
          <w:rFonts w:ascii="Courier New" w:hAnsi="Courier New"/>
          <w:color w:val="1A1A1A"/>
          <w:sz w:val="18"/>
        </w:rPr>
        <w:t xml:space="preserve">  Billing type        :  F2 only  (standard invoices)</w:t>
        <w:br/>
      </w:r>
      <w:r>
        <w:rPr>
          <w:rFonts w:ascii="Courier New" w:hAnsi="Courier New"/>
          <w:color w:val="1A1A1A"/>
          <w:sz w:val="18"/>
        </w:rPr>
        <w:t xml:space="preserve">  Exclude             :  RE (returns)  |  G2 (credit memos)  |  F5 (pro formas)</w:t>
        <w:br/>
      </w:r>
      <w:r>
        <w:rPr>
          <w:rFonts w:ascii="Courier New" w:hAnsi="Courier New"/>
          <w:color w:val="1A1A1A"/>
          <w:sz w:val="18"/>
        </w:rPr>
        <w:t xml:space="preserve">  Currency            :  EUR</w:t>
        <w:br/>
      </w:r>
      <w:r>
        <w:rPr>
          <w:rFonts w:ascii="Courier New" w:hAnsi="Courier New"/>
          <w:color w:val="1A1A1A"/>
          <w:sz w:val="18"/>
        </w:rPr>
        <w:t xml:space="preserve">  Period 1            :  01.01.2024 to 31.12.2024</w:t>
        <w:br/>
      </w:r>
      <w:r>
        <w:rPr>
          <w:rFonts w:ascii="Courier New" w:hAnsi="Courier New"/>
          <w:color w:val="1A1A1A"/>
          <w:sz w:val="18"/>
        </w:rPr>
        <w:t xml:space="preserve">  Period 2            :  01.01.2025 to 31.12.2025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Fields to include in the extract</w:t>
      </w:r>
    </w:p>
    <w:p>
      <w:pPr>
        <w:spacing w:before="80" w:after="120"/>
        <w:ind w:left="283"/>
        <w:shd w:val="clear" w:color="auto" w:fill="F5F5F5"/>
      </w:pPr>
      <w:r>
        <w:rPr>
          <w:rFonts w:ascii="Courier New" w:hAnsi="Courier New"/>
          <w:color w:val="1A1A1A"/>
          <w:sz w:val="18"/>
        </w:rPr>
        <w:t>billing_date        &lt;-  VBRK-FKDAT             (date of invoice)</w:t>
        <w:br/>
      </w:r>
      <w:r>
        <w:rPr>
          <w:rFonts w:ascii="Courier New" w:hAnsi="Courier New"/>
          <w:color w:val="1A1A1A"/>
          <w:sz w:val="18"/>
        </w:rPr>
        <w:t xml:space="preserve">  sold_to             &lt;-  VBRK-KUNRG             (distributor / customer code)</w:t>
        <w:br/>
      </w:r>
      <w:r>
        <w:rPr>
          <w:rFonts w:ascii="Courier New" w:hAnsi="Courier New"/>
          <w:color w:val="1A1A1A"/>
          <w:sz w:val="18"/>
        </w:rPr>
        <w:t xml:space="preserve">  material_number     &lt;-  VBRP-MATNR             (part number)</w:t>
        <w:br/>
      </w:r>
      <w:r>
        <w:rPr>
          <w:rFonts w:ascii="Courier New" w:hAnsi="Courier New"/>
          <w:color w:val="1A1A1A"/>
          <w:sz w:val="18"/>
        </w:rPr>
        <w:t xml:space="preserve">  qty                 &lt;-  VBRP-FKIMG             (billed quantity)</w:t>
        <w:br/>
      </w:r>
      <w:r>
        <w:rPr>
          <w:rFonts w:ascii="Courier New" w:hAnsi="Courier New"/>
          <w:color w:val="1A1A1A"/>
          <w:sz w:val="18"/>
        </w:rPr>
        <w:t xml:space="preserve">  pr00_eur            &lt;-  KONV-KWERT  where KSCHL = 'PR00'</w:t>
        <w:br/>
      </w:r>
      <w:r>
        <w:rPr>
          <w:rFonts w:ascii="Courier New" w:hAnsi="Courier New"/>
          <w:color w:val="1A1A1A"/>
          <w:sz w:val="18"/>
        </w:rPr>
        <w:t xml:space="preserve">  zpr1_eur            &lt;-  KONV-KWERT  where KSCHL = 'ZPR1'   (zero for non-Israel)</w:t>
        <w:br/>
      </w:r>
      <w:r>
        <w:rPr>
          <w:rFonts w:ascii="Courier New" w:hAnsi="Courier New"/>
          <w:color w:val="1A1A1A"/>
          <w:sz w:val="18"/>
        </w:rPr>
        <w:t xml:space="preserve">  vkwrt_eur           &lt;-  VBRP-VKWRT             &lt;&lt;&lt; THIS IS THE KEY FIELD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Output format</w:t>
      </w:r>
    </w:p>
    <w:p>
      <w:pPr>
        <w:spacing w:before="80" w:after="120"/>
        <w:ind w:left="283"/>
        <w:shd w:val="clear" w:color="auto" w:fill="F5F5F5"/>
      </w:pPr>
      <w:r>
        <w:rPr>
          <w:rFonts w:ascii="Courier New" w:hAnsi="Courier New"/>
          <w:color w:val="1A1A1A"/>
          <w:sz w:val="18"/>
        </w:rPr>
        <w:t>File format     :  Flat CSV, one row per invoice line item</w:t>
        <w:br/>
      </w:r>
      <w:r>
        <w:rPr>
          <w:rFonts w:ascii="Courier New" w:hAnsi="Courier New"/>
          <w:color w:val="1A1A1A"/>
          <w:sz w:val="18"/>
        </w:rPr>
        <w:t xml:space="preserve">  Separator       :  Semicolon  ( ; )</w:t>
        <w:br/>
      </w:r>
      <w:r>
        <w:rPr>
          <w:rFonts w:ascii="Courier New" w:hAnsi="Courier New"/>
          <w:color w:val="1A1A1A"/>
          <w:sz w:val="18"/>
        </w:rPr>
        <w:t xml:space="preserve">  Encoding        :  UTF-8</w:t>
        <w:br/>
      </w:r>
      <w:r>
        <w:rPr>
          <w:rFonts w:ascii="Courier New" w:hAnsi="Courier New"/>
          <w:color w:val="1A1A1A"/>
          <w:sz w:val="18"/>
        </w:rPr>
        <w:t xml:space="preserve">  File naming     :  VKWRT_CY2024.csv  and  VKWRT_CY2025.csv</w:t>
        <w:br/>
      </w:r>
      <w:r>
        <w:rPr>
          <w:rFonts w:ascii="Courier New" w:hAnsi="Courier New"/>
          <w:color w:val="1A1A1A"/>
          <w:sz w:val="18"/>
        </w:rPr>
        <w:t xml:space="preserve">  Expected rows   :  ~150,000 to 200,000 per year</w:t>
        <w:br/>
      </w:r>
      <w:r>
        <w:rPr>
          <w:rFonts w:ascii="Courier New" w:hAnsi="Courier New"/>
          <w:color w:val="1A1A1A"/>
          <w:sz w:val="18"/>
        </w:rPr>
        <w:t xml:space="preserve">  Expected size   :  ~15 to 25 MB per file</w:t>
      </w: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What ISZE will do with this data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Join VKWRT to the AIM parts master on material number.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For each distributor: calculate total PR00 revenue vs total VKWRT revenue. Flag any distributor where the gap exceeds 5%.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Recompute AIM Strategic Scores using VKWRT as the revenue base instead of PR00.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Add a SPA-adjusted toggle to AIM output — allowing side-by-side comparison of list-price scores vs net-revenue scores.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Expected result: Israel (UTI + UMI) AIM scores shift. Campaign priorities and revenue benchmarks recalibrate to reflect what ISZE actually earns.</w:t>
      </w: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Priority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03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Priority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b/>
                <w:color w:val="CC0E1E"/>
                <w:sz w:val="18"/>
              </w:rPr>
              <w:t>HIGH — unblocks AIM SPA-adjusted scoring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Requested by</w:t>
            </w:r>
          </w:p>
        </w:tc>
        <w:tc>
          <w:tcPr>
            <w:tcW w:type="dxa" w:w="6803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Jerome Van der Pluym, VP Sales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Requested from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BVDB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Timeline</w:t>
            </w:r>
          </w:p>
        </w:tc>
        <w:tc>
          <w:tcPr>
            <w:tcW w:type="dxa" w:w="6803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As soon as possible — no hard deadline but needed before next AIM review cycle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Effort (BVDB)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b w:val="0"/>
                <w:color w:val="2E7D32"/>
                <w:sz w:val="18"/>
              </w:rPr>
              <w:t>Low — standard VF05N extract with one additional field (VKWRT)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Sensitivity</w:t>
            </w:r>
          </w:p>
        </w:tc>
        <w:tc>
          <w:tcPr>
            <w:tcW w:type="dxa" w:w="6803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Internal — do not share outside ISZE</w:t>
            </w:r>
          </w:p>
        </w:tc>
      </w:tr>
    </w:tbl>
    <w:p>
      <w:pPr>
        <w:spacing w:after="40"/>
      </w:pPr>
    </w:p>
    <w:p>
      <w:pPr>
        <w:spacing w:before="320" w:after="120"/>
        <w:ind w:left="170"/>
        <w:shd w:val="clear" w:color="auto" w:fill="CC0E1E"/>
      </w:pPr>
      <w:r>
        <w:rPr>
          <w:rFonts w:ascii="Arial Black" w:hAnsi="Arial Black"/>
          <w:b/>
          <w:color w:val="FFFFFF"/>
          <w:sz w:val="28"/>
        </w:rPr>
        <w:t>Request 2 of 2  —  Power BI CSV Exports  (3 Datasets)</w:t>
      </w: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What this is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A request for BVDB to export three Power BI datasets as CSV files on a recurring schedule. These datasets already exist in Power BI — this is not a new report build. The only change is delivery format: instead of ISZE manually downloading PBI views or taking screenshots, BVDB sends CSV exports by email or drops them to a shared folder.</w:t>
      </w: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Why this matters  —  the sell-in versus sell-out problem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All of ISZE's current analysis is based on ISZE-to-distributor sell-in. Sell-in is a supply signal, not a demand signal. It is distorted by four structural factors: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MOS policy cycles  —  distributors order in bulk when Minimum Order Size thresholds apply, concentrating purchases in specific weeks regardless of actual dealer demand.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Year-end loading  —  distributors build stock in Q4 to hit annual targets, creating artificial Q4 spikes and Q1 troughs in ISZE sell-in data.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Campaign loading  —  distributors buy ahead of promotional periods, inflating apparent demand in one period and deflating it in the next.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Promotional buys  —  one-off large orders that look like demand increases in the data but are just inventory movements between ISZE and the distributor warehouse.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7FF"/>
            <w:tcBorders>
              <w:top w:val="single" w:sz="6" w:color="9FA8DA"/>
              <w:bottom w:val="single" w:sz="6" w:color="9FA8DA"/>
              <w:left w:val="single" w:sz="6" w:color="9FA8DA"/>
              <w:right w:val="single" w:sz="6" w:color="9FA8DA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The fix requires only two data points:  </w:t>
            </w:r>
            <w:r>
              <w:rPr>
                <w:rFonts w:ascii="Arial" w:hAnsi="Arial"/>
                <w:sz w:val="20"/>
              </w:rPr>
              <w:t xml:space="preserve"> Distributor stock on hand at the start of the year, and at the end of the year.</w:t>
              <w:br/>
              <w:br/>
              <w:t>Distributor sell-out  =  ISZE sell-in  minus  change in distributor stock</w:t>
              <w:br/>
              <w:br/>
              <w:t>This converts existing sell-in data into a real demand signal. No new data collection. No dealer MOU. No IT integration.</w:t>
            </w:r>
          </w:p>
        </w:tc>
      </w:tr>
    </w:tbl>
    <w:p>
      <w:pPr>
        <w:spacing w:after="80"/>
      </w:pP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The three datasets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Dataset 1  —  Monthly sell-in by part number by distributor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Why needed: The current AIM model uses annual totals. Annual data hides two things that matter commercially: (1) seasonality — which parts spike in which months; (2) campaign loading — a part where 45% of annual volume lands in October is not genuinely in higher demand in October, the distributor is loading stock for a campaign. Monthly data makes this visible immediately.</w:t>
      </w:r>
    </w:p>
    <w:p>
      <w:pPr>
        <w:spacing w:before="80" w:after="120"/>
        <w:ind w:left="283"/>
        <w:shd w:val="clear" w:color="auto" w:fill="F5F5F5"/>
      </w:pPr>
      <w:r>
        <w:rPr>
          <w:rFonts w:ascii="Courier New" w:hAnsi="Courier New"/>
          <w:color w:val="1A1A1A"/>
          <w:sz w:val="18"/>
        </w:rPr>
        <w:t>Columns      :  year_month  |  distributor_code  |  material_number  |  qty_ordered  |  value_eur</w:t>
        <w:br/>
      </w:r>
      <w:r>
        <w:rPr>
          <w:rFonts w:ascii="Courier New" w:hAnsi="Courier New"/>
          <w:color w:val="1A1A1A"/>
          <w:sz w:val="18"/>
        </w:rPr>
        <w:t xml:space="preserve">  Period       :  Full CY2023 + CY2024 + CY2025  (3 years of history for trend analysis)</w:t>
        <w:br/>
      </w:r>
      <w:r>
        <w:rPr>
          <w:rFonts w:ascii="Courier New" w:hAnsi="Courier New"/>
          <w:color w:val="1A1A1A"/>
          <w:sz w:val="18"/>
        </w:rPr>
        <w:t xml:space="preserve">  Refresh      :  Monthly  —  1st working day of each month going forward</w:t>
        <w:br/>
      </w:r>
      <w:r>
        <w:rPr>
          <w:rFonts w:ascii="Courier New" w:hAnsi="Courier New"/>
          <w:color w:val="1A1A1A"/>
          <w:sz w:val="18"/>
        </w:rPr>
        <w:t xml:space="preserve">  File name    :  SellIn_Monthly_YYYYMM.csv</w:t>
        <w:br/>
      </w:r>
      <w:r>
        <w:rPr>
          <w:rFonts w:ascii="Courier New" w:hAnsi="Courier New"/>
          <w:color w:val="1A1A1A"/>
          <w:sz w:val="18"/>
        </w:rPr>
        <w:t xml:space="preserve">  Delivery     :  Email attachment  OR  SharePoint / Teams shared folder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Dataset 2  —  Distributor stock on hand by part number  (snapshot)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Why needed: This is the core input for calculating distributor sell-out. Two snapshots per year (start + end of year) give one delta-inventory value per part per distributor. That single number transforms three years of existing sell-in data into sell-out estimates across the entire network. Without it, ISZE cannot distinguish genuine demand growth from a distributor stocking up ahead of a campaign or year-end.</w:t>
      </w:r>
    </w:p>
    <w:p>
      <w:pPr>
        <w:spacing w:before="80" w:after="120"/>
        <w:ind w:left="283"/>
        <w:shd w:val="clear" w:color="auto" w:fill="F5F5F5"/>
      </w:pPr>
      <w:r>
        <w:rPr>
          <w:rFonts w:ascii="Courier New" w:hAnsi="Courier New"/>
          <w:color w:val="1A1A1A"/>
          <w:sz w:val="18"/>
        </w:rPr>
        <w:t>Columns      :  snapshot_date  |  distributor_code  |  material_number  |  qty_on_hand</w:t>
        <w:br/>
      </w:r>
      <w:r>
        <w:rPr>
          <w:rFonts w:ascii="Courier New" w:hAnsi="Courier New"/>
          <w:color w:val="1A1A1A"/>
          <w:sz w:val="18"/>
        </w:rPr>
        <w:t xml:space="preserve">  Period       :  Snapshot at 01.01.2025 AND 31.12.2025  (retrospective first delivery)</w:t>
        <w:br/>
      </w:r>
      <w:r>
        <w:rPr>
          <w:rFonts w:ascii="Courier New" w:hAnsi="Courier New"/>
          <w:color w:val="1A1A1A"/>
          <w:sz w:val="18"/>
        </w:rPr>
        <w:t xml:space="preserve">               :  Then ongoing: snapshot at 01.01 and 01.07 each year</w:t>
        <w:br/>
      </w:r>
      <w:r>
        <w:rPr>
          <w:rFonts w:ascii="Courier New" w:hAnsi="Courier New"/>
          <w:color w:val="1A1A1A"/>
          <w:sz w:val="18"/>
        </w:rPr>
        <w:t xml:space="preserve">  Refresh      :  Twice a year  (January + July)</w:t>
        <w:br/>
      </w:r>
      <w:r>
        <w:rPr>
          <w:rFonts w:ascii="Courier New" w:hAnsi="Courier New"/>
          <w:color w:val="1A1A1A"/>
          <w:sz w:val="18"/>
        </w:rPr>
        <w:t xml:space="preserve">  File name    :  Stock_Snapshot_YYYYMMDD.csv</w:t>
        <w:br/>
      </w:r>
      <w:r>
        <w:rPr>
          <w:rFonts w:ascii="Courier New" w:hAnsi="Courier New"/>
          <w:color w:val="1A1A1A"/>
          <w:sz w:val="18"/>
        </w:rPr>
        <w:t xml:space="preserve">  Note         :  If Power BI does not have a stock-by-PN view, BVDB may need to pull</w:t>
        <w:br/>
      </w:r>
      <w:r>
        <w:rPr>
          <w:rFonts w:ascii="Courier New" w:hAnsi="Courier New"/>
          <w:color w:val="1A1A1A"/>
          <w:sz w:val="18"/>
        </w:rPr>
        <w:t xml:space="preserve">               :  this from SAP using transaction MB52 or the standard stock report.</w:t>
        <w:br/>
      </w:r>
      <w:r>
        <w:rPr>
          <w:rFonts w:ascii="Courier New" w:hAnsi="Courier New"/>
          <w:color w:val="1A1A1A"/>
          <w:sz w:val="18"/>
        </w:rPr>
        <w:t xml:space="preserve">  Delivery     :  Email attachment  OR  SharePoint / Teams shared folder</w:t>
      </w:r>
    </w:p>
    <w:p>
      <w:pPr>
        <w:spacing w:before="160" w:after="40"/>
      </w:pPr>
      <w:r>
        <w:rPr>
          <w:rFonts w:ascii="Arial" w:hAnsi="Arial"/>
          <w:b/>
          <w:color w:val="1A1A1A"/>
          <w:sz w:val="21"/>
        </w:rPr>
        <w:t>Dataset 3  —  Open backorders by part number  (current snapshot)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Why needed: A part number that has been on backorder for 60 days has artificially suppressed sell-in — dealers could not order it even if they wanted to. AIM currently treats a backordered part as low demand. That is wrong. This dataset allows ISZE to flag AIM scores for backorder-affected parts and adjust scores to reflect what the real demand would have been.</w:t>
      </w:r>
    </w:p>
    <w:p>
      <w:pPr>
        <w:spacing w:before="80" w:after="120"/>
        <w:ind w:left="283"/>
        <w:shd w:val="clear" w:color="auto" w:fill="F5F5F5"/>
      </w:pPr>
      <w:r>
        <w:rPr>
          <w:rFonts w:ascii="Courier New" w:hAnsi="Courier New"/>
          <w:color w:val="1A1A1A"/>
          <w:sz w:val="18"/>
        </w:rPr>
        <w:t>Columns      :  material_number  |  total_open_qty  |  oldest_order_date  |  backorder_days</w:t>
        <w:br/>
      </w:r>
      <w:r>
        <w:rPr>
          <w:rFonts w:ascii="Courier New" w:hAnsi="Courier New"/>
          <w:color w:val="1A1A1A"/>
          <w:sz w:val="18"/>
        </w:rPr>
        <w:t xml:space="preserve">  Period       :  Current snapshot at time of extract</w:t>
        <w:br/>
      </w:r>
      <w:r>
        <w:rPr>
          <w:rFonts w:ascii="Courier New" w:hAnsi="Courier New"/>
          <w:color w:val="1A1A1A"/>
          <w:sz w:val="18"/>
        </w:rPr>
        <w:t xml:space="preserve">  Refresh      :  Monthly  (same delivery as Dataset 1)</w:t>
        <w:br/>
      </w:r>
      <w:r>
        <w:rPr>
          <w:rFonts w:ascii="Courier New" w:hAnsi="Courier New"/>
          <w:color w:val="1A1A1A"/>
          <w:sz w:val="18"/>
        </w:rPr>
        <w:t xml:space="preserve">  File name    :  Backorders_YYYYMM.csv</w:t>
        <w:br/>
      </w:r>
      <w:r>
        <w:rPr>
          <w:rFonts w:ascii="Courier New" w:hAnsi="Courier New"/>
          <w:color w:val="1A1A1A"/>
          <w:sz w:val="18"/>
        </w:rPr>
        <w:t xml:space="preserve">  Delivery     :  Email attachment  OR  same folder as Dataset 1</w:t>
      </w: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Summary of what BVDB needs to do for Request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835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Source in SAP / PBI</w:t>
            </w:r>
          </w:p>
        </w:tc>
        <w:tc>
          <w:tcPr>
            <w:tcW w:type="dxa" w:w="3118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Effort for BVDB</w:t>
            </w:r>
          </w:p>
        </w:tc>
        <w:tc>
          <w:tcPr>
            <w:tcW w:type="dxa" w:w="1134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1. Monthly sell-in by PN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Already in PBI as sales by customer and material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E7D32"/>
                <w:sz w:val="18"/>
              </w:rPr>
              <w:t>Low — export existing PBI report as CSV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Monthly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2. Distributor stock snapshot</w:t>
            </w:r>
          </w:p>
        </w:tc>
        <w:tc>
          <w:tcPr>
            <w:tcW w:type="dxa" w:w="2835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PBI stock report or SAP MB52 if not in PBI</w:t>
            </w:r>
          </w:p>
        </w:tc>
        <w:tc>
          <w:tcPr>
            <w:tcW w:type="dxa" w:w="3118"/>
            <w:shd w:val="clear" w:color="auto" w:fill="F8F8F8"/>
          </w:tcPr>
          <w:p>
            <w:r>
              <w:rPr>
                <w:rFonts w:ascii="Arial" w:hAnsi="Arial"/>
                <w:b w:val="0"/>
                <w:color w:val="E3B341"/>
                <w:sz w:val="18"/>
              </w:rPr>
              <w:t>Low to Medium — depends on PBI coverage</w:t>
            </w:r>
          </w:p>
        </w:tc>
        <w:tc>
          <w:tcPr>
            <w:tcW w:type="dxa" w:w="1134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Twice a year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3. Open backorders by PN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PBI backorder view or SAP MD04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b w:val="0"/>
                <w:color w:val="2E7D32"/>
                <w:sz w:val="18"/>
              </w:rPr>
              <w:t>Low — standard report export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Monthly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BF3"/>
            <w:tcBorders>
              <w:top w:val="single" w:sz="6" w:color="2E7D32"/>
              <w:bottom w:val="single" w:sz="6" w:color="2E7D32"/>
              <w:left w:val="single" w:sz="6" w:color="2E7D32"/>
              <w:right w:val="single" w:sz="6" w:color="2E7D32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Format for all three datasets:  </w:t>
            </w:r>
            <w:r>
              <w:rPr>
                <w:rFonts w:ascii="Arial" w:hAnsi="Arial"/>
                <w:sz w:val="20"/>
              </w:rPr>
              <w:t xml:space="preserve"> Flat CSV file, semicolon ( ; ) separated, UTF-8 encoding. Email attachment is perfectly fine as a starting point. A shared Teams or SharePoint folder is also fine. No automation or API integration is needed — manual export on agreed dates is sufficient.</w:t>
            </w:r>
          </w:p>
        </w:tc>
      </w:tr>
    </w:tbl>
    <w:p>
      <w:pPr>
        <w:spacing w:after="80"/>
      </w:pP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What ISZE will do with this data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Dataset 1: Replace annual AIM sell-in totals with month-level data. Detect campaign loading per part number per distributor. Build a seasonality index to improve demand forecasting.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Dataset 2: Calculate delta-stock per distributor per part number. Compute sell-out = sell-in minus delta-stock. Update AIM to show sell-out alongside sell-in as a more accurate demand measure.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Dataset 3: Flag AIM strategic scores for parts with more than 30 days backorder. Adjust scores to reflect suppressed demand rather than penalising a part that was genuinely in demand but unavailable.</w:t>
      </w:r>
    </w:p>
    <w:p>
      <w:pPr>
        <w:spacing w:before="20" w:after="40"/>
        <w:ind w:left="340"/>
      </w:pPr>
      <w:r>
        <w:rPr>
          <w:rFonts w:ascii="Arial" w:hAnsi="Arial"/>
          <w:sz w:val="20"/>
        </w:rPr>
        <w:t>•  Combined effect: the AIM model shifts from measuring what distributors bought from ISZE to what dealers actually needed. This is a fundamentally more reliable signal for commercial decisions.</w:t>
      </w:r>
    </w:p>
    <w:p>
      <w:pPr>
        <w:spacing w:before="240" w:after="60"/>
        <w:pBdr>
          <w:bottom w:val="single" w:sz="4" w:color="CC0E1E"/>
        </w:pBdr>
      </w:pPr>
      <w:r>
        <w:rPr>
          <w:rFonts w:ascii="Arial" w:hAnsi="Arial"/>
          <w:b/>
          <w:color w:val="CC0E1E"/>
          <w:sz w:val="23"/>
        </w:rPr>
        <w:t>Priority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03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Priority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b w:val="0"/>
                <w:color w:val="E3B341"/>
                <w:sz w:val="18"/>
              </w:rPr>
              <w:t>HIGH for inventory snapshot  /  Medium for monthly sell-in and backorders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Requested by</w:t>
            </w:r>
          </w:p>
        </w:tc>
        <w:tc>
          <w:tcPr>
            <w:tcW w:type="dxa" w:w="6803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Jerome Van der Pluym, VP Sales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Requested from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BVDB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Timeline</w:t>
            </w:r>
          </w:p>
        </w:tc>
        <w:tc>
          <w:tcPr>
            <w:tcW w:type="dxa" w:w="6803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Inventory snapshot: before end of Q2 2026 (31.12.2025 data may still be available in SAP). Monthly exports: from June 2026 onward.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Effort (BVDB)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b w:val="0"/>
                <w:color w:val="2E7D32"/>
                <w:sz w:val="18"/>
              </w:rPr>
              <w:t>Low — existing PBI reports, CSV export via report subscription or manual send</w:t>
            </w:r>
          </w:p>
        </w:tc>
      </w:tr>
      <w:tr>
        <w:tc>
          <w:tcPr>
            <w:tcW w:type="dxa" w:w="2551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Sensitivity</w:t>
            </w:r>
          </w:p>
        </w:tc>
        <w:tc>
          <w:tcPr>
            <w:tcW w:type="dxa" w:w="6803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Internal — do not share outside ISZE</w:t>
            </w:r>
          </w:p>
        </w:tc>
      </w:tr>
    </w:tbl>
    <w:p>
      <w:pPr>
        <w:spacing w:after="40"/>
      </w:pPr>
    </w:p>
    <w:p>
      <w:pPr>
        <w:spacing w:before="320" w:after="120"/>
        <w:ind w:left="170"/>
        <w:shd w:val="clear" w:color="auto" w:fill="CC0E1E"/>
      </w:pPr>
      <w:r>
        <w:rPr>
          <w:rFonts w:ascii="Arial Black" w:hAnsi="Arial Black"/>
          <w:b/>
          <w:color w:val="FFFFFF"/>
          <w:sz w:val="28"/>
        </w:rPr>
        <w:t>Summary  —  Two Requests in Plain Language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3969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Request 1: VKWRT extract</w:t>
            </w:r>
          </w:p>
        </w:tc>
        <w:tc>
          <w:tcPr>
            <w:tcW w:type="dxa" w:w="3969"/>
            <w:shd w:val="clear" w:color="auto" w:fill="CC0E1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Request 2: Power BI CSV exports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What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SAP billing export with net revenue field (VKWRT) for CY2024 + CY2025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 CSV files: monthly sell-in, stock snapshots (Jan + Dec), open backorders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The problem it solves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PR00 overstates revenue for SPA customers. AIM scores and campaign priorities are based on a number that is not real for Israel.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Sell-in is not demand. Stocking cycles, MOS, and campaign loading distort what looks like distributor demand.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Source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SAP — transaction VF05N, table VBRP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Power BI (+ SAP MB52 for stock snapshot if needed)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Effort for BVDB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rFonts w:ascii="Arial" w:hAnsi="Arial"/>
                <w:b w:val="0"/>
                <w:color w:val="2E7D32"/>
                <w:sz w:val="18"/>
              </w:rPr>
              <w:t>Low — standard extract with one additional field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rFonts w:ascii="Arial" w:hAnsi="Arial"/>
                <w:b w:val="0"/>
                <w:color w:val="2E7D32"/>
                <w:sz w:val="18"/>
              </w:rPr>
              <w:t>Low — export existing PBI reports as CSV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Frequency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Once for CY2024 + CY2025. Annual refresh going forward.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Monthly for sell-in and backorders. Twice a year for stock snapshots.</w:t>
            </w:r>
          </w:p>
        </w:tc>
      </w:tr>
      <w:tr>
        <w:tc>
          <w:tcPr>
            <w:tcW w:type="dxa" w:w="1984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Impact on AIM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Israel distributor scores corrected. Revenue baseline becomes real net revenue.</w:t>
            </w:r>
          </w:p>
        </w:tc>
        <w:tc>
          <w:tcPr>
            <w:tcW w:type="dxa" w:w="3969"/>
            <w:shd w:val="clear" w:color="auto" w:fill="F8F8F8"/>
          </w:tcPr>
          <w:p>
            <w:r>
              <w:rPr>
                <w:rFonts w:ascii="Arial" w:hAnsi="Arial"/>
                <w:sz w:val="18"/>
              </w:rPr>
              <w:t>All distributor demand analysis becomes sell-out based. Stocking distortion removed.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Priority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/>
                <w:color w:val="CC0E1E"/>
                <w:sz w:val="18"/>
              </w:rPr>
              <w:t>HIGH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b w:val="0"/>
                <w:color w:val="E3B341"/>
                <w:sz w:val="18"/>
              </w:rPr>
              <w:t>HIGH for snapshot  /  Medium for others</w:t>
            </w:r>
          </w:p>
        </w:tc>
      </w:tr>
    </w:tbl>
    <w:p>
      <w:pPr>
        <w:spacing w:after="40"/>
      </w:pPr>
    </w:p>
    <w:p/>
    <w:p>
      <w:pPr>
        <w:spacing w:before="0" w:after="80"/>
      </w:pPr>
      <w:r>
        <w:rPr>
          <w:rFonts w:ascii="Arial" w:hAnsi="Arial"/>
          <w:b w:val="0"/>
          <w:i/>
          <w:color w:val="5A5A5A"/>
          <w:sz w:val="20"/>
        </w:rPr>
        <w:t>Questions or clarifications: Jerome Van der Pluym  |  VP Sales  |  jvanderpluym@isze.eu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