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CC0E1E"/>
          <w:sz w:val="48"/>
        </w:rPr>
        <w:t>Units in Operation</w:t>
      </w:r>
    </w:p>
    <w:p>
      <w:pPr>
        <w:spacing w:after="200" w:before="0"/>
      </w:pPr>
      <w:r>
        <w:rPr>
          <w:b/>
          <w:i w:val="0"/>
          <w:color w:val="1A1A1A"/>
          <w:sz w:val="30"/>
        </w:rPr>
        <w:t>Model review and rebuild plan</w:t>
      </w:r>
    </w:p>
    <w:p>
      <w:pPr>
        <w:spacing w:after="20" w:before="0"/>
      </w:pPr>
      <w:r>
        <w:rPr>
          <w:b w:val="0"/>
          <w:i w:val="0"/>
          <w:color w:val="595959"/>
          <w:sz w:val="20"/>
        </w:rPr>
        <w:t>Prepared for  Masumi Hayakawa, Isuzu Motors Limited</w:t>
      </w:r>
    </w:p>
    <w:p>
      <w:pPr>
        <w:spacing w:after="20" w:before="0"/>
      </w:pPr>
      <w:r>
        <w:rPr>
          <w:b w:val="0"/>
          <w:i w:val="0"/>
          <w:color w:val="595959"/>
          <w:sz w:val="20"/>
        </w:rPr>
        <w:t>Prepared by  Jérôme Van der Pluym, VP Sales, Isuzu Sales Zone Europe</w:t>
      </w:r>
    </w:p>
    <w:p>
      <w:pPr>
        <w:spacing w:after="320" w:before="0"/>
      </w:pPr>
      <w:r>
        <w:rPr>
          <w:b w:val="0"/>
          <w:i w:val="0"/>
          <w:color w:val="595959"/>
          <w:sz w:val="20"/>
        </w:rPr>
        <w:t>27 July 2026  ·  Internal working document</w:t>
      </w:r>
    </w:p>
    <w:p>
      <w:pPr>
        <w:pStyle w:val="Heading1"/>
      </w:pPr>
      <w:r>
        <w:t>1.  Summary</w:t>
      </w:r>
    </w:p>
    <w:p>
      <w:pPr>
        <w:spacing w:after="140" w:before="0"/>
      </w:pPr>
      <w:r>
        <w:rPr>
          <w:b w:val="0"/>
          <w:i w:val="0"/>
          <w:color w:val="1A1A1A"/>
          <w:sz w:val="21"/>
        </w:rPr>
        <w:t>Our European Units in Operation model produces the fleet size we use as the denominator for almost everything commercial: parts spend per vehicle, capture rates, market potential and the Kosha plan. In June we changed how the model projects future years. That change is wrong, and the resulting forecast is not usable.</w:t>
      </w:r>
    </w:p>
    <w:p>
      <w:pPr>
        <w:spacing w:after="140"/>
      </w:pPr>
      <w:r>
        <w:rPr>
          <w:b/>
          <w:color w:val="1A1A1A"/>
          <w:sz w:val="21"/>
        </w:rPr>
        <w:t>The historical part of the model, covering 1990 to 2025, is in good shape. The forecast years, 2026 to 2030, should not be quoted internally or externally until we have rebuilt them.</w:t>
      </w:r>
    </w:p>
    <w:p>
      <w:pPr>
        <w:spacing w:after="140" w:before="0"/>
      </w:pPr>
      <w:r>
        <w:rPr>
          <w:b w:val="0"/>
          <w:i w:val="0"/>
          <w:color w:val="1A1A1A"/>
          <w:sz w:val="21"/>
        </w:rPr>
        <w:t>Two separate things moved the numbers in June and they are being confused with each other:</w:t>
      </w:r>
    </w:p>
    <w:p>
      <w:pPr>
        <w:pStyle w:val="ListBullet"/>
        <w:spacing w:after="80"/>
        <w:ind w:left="340"/>
      </w:pPr>
      <w:r>
        <w:rPr>
          <w:b/>
          <w:sz w:val="21"/>
        </w:rPr>
        <w:t xml:space="preserve">The Ireland and Portugal data refresh </w:t>
      </w:r>
      <w:r>
        <w:rPr>
          <w:sz w:val="21"/>
        </w:rPr>
        <w:t>is good work and should stand. We replaced our own estimates with government registration data from the Irish motor industry association and with dealer registration records from Portugal. Both made the fleet smaller, which is the correct direction.</w:t>
      </w:r>
    </w:p>
    <w:p>
      <w:pPr>
        <w:pStyle w:val="ListBullet"/>
        <w:spacing w:after="80"/>
        <w:ind w:left="340"/>
      </w:pPr>
      <w:r>
        <w:rPr>
          <w:b/>
          <w:sz w:val="21"/>
        </w:rPr>
        <w:t xml:space="preserve">The forecast method change made the same week is the problem. </w:t>
      </w:r>
      <w:r>
        <w:rPr>
          <w:sz w:val="21"/>
        </w:rPr>
        <w:t>It has nothing to do with either country. It affects every market and every forecast year, and it is what produced the growth spike.</w:t>
      </w:r>
    </w:p>
    <w:p>
      <w:pPr>
        <w:spacing w:after="140" w:before="0"/>
      </w:pPr>
      <w:r>
        <w:rPr>
          <w:b w:val="0"/>
          <w:i w:val="0"/>
          <w:color w:val="1A1A1A"/>
          <w:sz w:val="21"/>
        </w:rPr>
        <w:t>Separately, and only discovered this month when UTI shared their government fleet data, our Israel figures are approximately one quarter too low in every single year going back to 2020.</w:t>
      </w:r>
    </w:p>
    <w:tbl>
      <w:tblPr>
        <w:tblW w:type="auto" w:w="0"/>
        <w:tblLayout w:type="fixed"/>
        <w:tblLook w:firstColumn="1" w:firstRow="1" w:lastColumn="0" w:lastRow="0" w:noHBand="0" w:noVBand="1" w:val="04A0"/>
      </w:tblPr>
      <w:tblGrid>
        <w:gridCol w:w="9184"/>
      </w:tblGrid>
      <w:tr>
        <w:tc>
          <w:tcPr>
            <w:tcW w:type="dxa" w:w="9184"/>
            <w:shd w:val="clear" w:fill="FDF2F3"/>
          </w:tcPr>
          <w:p>
            <w:pPr>
              <w:spacing w:before="100" w:after="100"/>
            </w:pPr>
            <w:r>
              <w:rPr>
                <w:b/>
                <w:color w:val="CC0E1E"/>
                <w:sz w:val="21"/>
              </w:rPr>
              <w:t>The forecast overstates the European fleet by 7.8 % in 2026, rising to 37.7 % by 2030.</w:t>
            </w:r>
          </w:p>
        </w:tc>
      </w:tr>
    </w:tbl>
    <w:p>
      <w:pPr>
        <w:spacing w:after="120" w:before="0"/>
      </w:pPr>
    </w:p>
    <w:p>
      <w:pPr>
        <w:spacing w:after="140" w:before="0"/>
      </w:pPr>
      <w:r>
        <w:rPr>
          <w:b w:val="0"/>
          <w:i w:val="0"/>
          <w:color w:val="1A1A1A"/>
          <w:sz w:val="21"/>
        </w:rPr>
        <w:t>This document sets out seven issues, what each one is worth, and what we need from IML to fix them. We intend to rebuild the model as V20 during August and September.</w:t>
      </w:r>
    </w:p>
    <w:p>
      <w:pPr>
        <w:pStyle w:val="Heading1"/>
      </w:pPr>
      <w:r>
        <w:t>2.  How the model works</w:t>
      </w:r>
    </w:p>
    <w:p>
      <w:pPr>
        <w:spacing w:after="140" w:before="0"/>
      </w:pPr>
      <w:r>
        <w:rPr>
          <w:b w:val="0"/>
          <w:i w:val="0"/>
          <w:color w:val="1A1A1A"/>
          <w:sz w:val="21"/>
        </w:rPr>
        <w:t>The principle is simple. Take last year's fleet, remove the vehicles that were scrapped, add the vehicles that were newly registered. That gives this year's fleet. Repeat for each year.</w:t>
      </w:r>
    </w:p>
    <w:p>
      <w:pPr>
        <w:spacing w:after="140" w:before="0"/>
      </w:pPr>
      <w:r>
        <w:rPr>
          <w:b w:val="0"/>
          <w:i w:val="0"/>
          <w:color w:val="1A1A1A"/>
          <w:sz w:val="21"/>
        </w:rPr>
        <w:t>The only judgement in it is how many vehicles get scrapped. We answer that with a survival curve — a table that says, for example, that after five years 96 % of a truck cohort is still on the road, after ten years 55 %, and after fifteen years none. Every historical year in our model is built this way, cohort by cohort.</w:t>
      </w:r>
    </w:p>
    <w:p>
      <w:pPr>
        <w:pStyle w:val="Heading1"/>
      </w:pPr>
      <w:r>
        <w:t>3.  Issue one — the model assumes trucks last three times longer than they do</w:t>
      </w:r>
    </w:p>
    <w:p>
      <w:pPr>
        <w:spacing w:after="140" w:before="0"/>
      </w:pPr>
      <w:r>
        <w:rPr>
          <w:b w:val="0"/>
          <w:i w:val="0"/>
          <w:color w:val="1A1A1A"/>
          <w:sz w:val="21"/>
        </w:rPr>
        <w:t>For 2026 onward, the June change discarded the survival curve and replaced it with a single flat assumption: remove 3 % of the fleet each year, then add the new vehicles. Those two methods do not agree with one another.</w:t>
      </w:r>
    </w:p>
    <w:tbl>
      <w:tblPr>
        <w:tblStyle w:val="TableGrid"/>
        <w:tblW w:type="auto" w:w="0"/>
        <w:jc w:val="left"/>
        <w:tblLayout w:type="fixed"/>
        <w:tblLook w:firstColumn="1" w:firstRow="1" w:lastColumn="0" w:lastRow="0" w:noHBand="0" w:noVBand="1" w:val="04A0"/>
      </w:tblPr>
      <w:tblGrid>
        <w:gridCol w:w="3061"/>
        <w:gridCol w:w="3061"/>
        <w:gridCol w:w="3061"/>
      </w:tblGrid>
      <w:tr>
        <w:tc>
          <w:tcPr>
            <w:tcW w:type="dxa" w:w="4762"/>
            <w:shd w:val="clear" w:fill="1F3552"/>
          </w:tcPr>
          <w:p>
            <w:pPr>
              <w:spacing w:after="40" w:before="40"/>
              <w:jc w:val="left"/>
            </w:pPr>
            <w:r>
              <w:rPr>
                <w:b/>
                <w:color w:val="FFFFFF"/>
                <w:sz w:val="18"/>
              </w:rPr>
              <w:t>Method</w:t>
            </w:r>
          </w:p>
        </w:tc>
        <w:tc>
          <w:tcPr>
            <w:tcW w:type="dxa" w:w="2268"/>
            <w:shd w:val="clear" w:fill="1F3552"/>
          </w:tcPr>
          <w:p>
            <w:pPr>
              <w:spacing w:after="40" w:before="40"/>
              <w:jc w:val="right"/>
            </w:pPr>
            <w:r>
              <w:rPr>
                <w:b/>
                <w:color w:val="FFFFFF"/>
                <w:sz w:val="18"/>
              </w:rPr>
              <w:t>Implied vehicle life</w:t>
            </w:r>
          </w:p>
        </w:tc>
        <w:tc>
          <w:tcPr>
            <w:tcW w:type="dxa" w:w="2154"/>
            <w:shd w:val="clear" w:fill="1F3552"/>
          </w:tcPr>
          <w:p>
            <w:pPr>
              <w:spacing w:after="40" w:before="40"/>
              <w:jc w:val="right"/>
            </w:pPr>
            <w:r>
              <w:rPr>
                <w:b/>
                <w:color w:val="FFFFFF"/>
                <w:sz w:val="18"/>
              </w:rPr>
              <w:t>Scrapped per year</w:t>
            </w:r>
          </w:p>
        </w:tc>
      </w:tr>
      <w:tr>
        <w:tc>
          <w:tcPr>
            <w:tcW w:type="dxa" w:w="4762"/>
          </w:tcPr>
          <w:p>
            <w:pPr>
              <w:spacing w:after="40" w:before="40"/>
              <w:jc w:val="left"/>
            </w:pPr>
            <w:r>
              <w:rPr>
                <w:b w:val="0"/>
                <w:sz w:val="19"/>
              </w:rPr>
              <w:t>Survival curve used for trucks, 1990–2025</w:t>
            </w:r>
          </w:p>
        </w:tc>
        <w:tc>
          <w:tcPr>
            <w:tcW w:type="dxa" w:w="2268"/>
          </w:tcPr>
          <w:p>
            <w:pPr>
              <w:spacing w:after="40" w:before="40"/>
              <w:jc w:val="right"/>
            </w:pPr>
            <w:r>
              <w:rPr>
                <w:b w:val="0"/>
                <w:sz w:val="19"/>
              </w:rPr>
              <w:t>9.9 years</w:t>
            </w:r>
          </w:p>
        </w:tc>
        <w:tc>
          <w:tcPr>
            <w:tcW w:type="dxa" w:w="2154"/>
          </w:tcPr>
          <w:p>
            <w:pPr>
              <w:spacing w:after="40" w:before="40"/>
              <w:jc w:val="right"/>
            </w:pPr>
            <w:r>
              <w:rPr>
                <w:b/>
                <w:sz w:val="19"/>
              </w:rPr>
              <w:t>10.2 %</w:t>
            </w:r>
          </w:p>
        </w:tc>
      </w:tr>
      <w:tr>
        <w:tc>
          <w:tcPr>
            <w:tcW w:type="dxa" w:w="4762"/>
            <w:shd w:val="clear" w:fill="F2F4F7"/>
          </w:tcPr>
          <w:p>
            <w:pPr>
              <w:spacing w:after="40" w:before="40"/>
              <w:jc w:val="left"/>
            </w:pPr>
            <w:r>
              <w:rPr>
                <w:b w:val="0"/>
                <w:sz w:val="19"/>
              </w:rPr>
              <w:t>Survival curve used for pickups, 1990–2025</w:t>
            </w:r>
          </w:p>
        </w:tc>
        <w:tc>
          <w:tcPr>
            <w:tcW w:type="dxa" w:w="2268"/>
            <w:shd w:val="clear" w:fill="F2F4F7"/>
          </w:tcPr>
          <w:p>
            <w:pPr>
              <w:spacing w:after="40" w:before="40"/>
              <w:jc w:val="right"/>
            </w:pPr>
            <w:r>
              <w:rPr>
                <w:b w:val="0"/>
                <w:sz w:val="19"/>
              </w:rPr>
              <w:t>8.1 years</w:t>
            </w:r>
          </w:p>
        </w:tc>
        <w:tc>
          <w:tcPr>
            <w:tcW w:type="dxa" w:w="2154"/>
            <w:shd w:val="clear" w:fill="F2F4F7"/>
          </w:tcPr>
          <w:p>
            <w:pPr>
              <w:spacing w:after="40" w:before="40"/>
              <w:jc w:val="right"/>
            </w:pPr>
            <w:r>
              <w:rPr>
                <w:b/>
                <w:sz w:val="19"/>
              </w:rPr>
              <w:t>12.3 %</w:t>
            </w:r>
          </w:p>
        </w:tc>
      </w:tr>
      <w:tr>
        <w:tc>
          <w:tcPr>
            <w:tcW w:type="dxa" w:w="4762"/>
          </w:tcPr>
          <w:p>
            <w:pPr>
              <w:spacing w:after="40" w:before="40"/>
              <w:jc w:val="left"/>
            </w:pPr>
            <w:r>
              <w:rPr>
                <w:b w:val="0"/>
                <w:sz w:val="19"/>
              </w:rPr>
              <w:t>Flat assumption used for 2026–2030</w:t>
            </w:r>
          </w:p>
        </w:tc>
        <w:tc>
          <w:tcPr>
            <w:tcW w:type="dxa" w:w="2268"/>
          </w:tcPr>
          <w:p>
            <w:pPr>
              <w:spacing w:after="40" w:before="40"/>
              <w:jc w:val="right"/>
            </w:pPr>
            <w:r>
              <w:rPr>
                <w:b w:val="0"/>
                <w:sz w:val="19"/>
              </w:rPr>
              <w:t>33.3 years</w:t>
            </w:r>
          </w:p>
        </w:tc>
        <w:tc>
          <w:tcPr>
            <w:tcW w:type="dxa" w:w="2154"/>
          </w:tcPr>
          <w:p>
            <w:pPr>
              <w:spacing w:after="40" w:before="40"/>
              <w:jc w:val="right"/>
            </w:pPr>
            <w:r>
              <w:rPr>
                <w:b/>
                <w:sz w:val="19"/>
              </w:rPr>
              <w:t>3.0 %</w:t>
            </w:r>
          </w:p>
        </w:tc>
      </w:tr>
    </w:tbl>
    <w:p>
      <w:pPr>
        <w:spacing w:after="80" w:before="0"/>
      </w:pPr>
    </w:p>
    <w:p>
      <w:pPr>
        <w:spacing w:after="140" w:before="0"/>
      </w:pPr>
      <w:r>
        <w:rPr>
          <w:b w:val="0"/>
          <w:i w:val="0"/>
          <w:color w:val="1A1A1A"/>
          <w:sz w:val="21"/>
        </w:rPr>
        <w:t>On 1 January 2026 the vehicles in our model suddenly begin lasting three times longer than they did on 31 December 2025. Nothing changed in the market. Only our arithmetic changed.</w:t>
      </w:r>
    </w:p>
    <w:p>
      <w:pPr>
        <w:pStyle w:val="Heading2"/>
      </w:pPr>
      <w:r>
        <w:t>Three independent checks confirm this</w:t>
      </w:r>
    </w:p>
    <w:p>
      <w:pPr>
        <w:spacing w:after="140"/>
      </w:pPr>
      <w:r>
        <w:rPr>
          <w:b/>
          <w:color w:val="1A1A1A"/>
          <w:sz w:val="21"/>
        </w:rPr>
        <w:t xml:space="preserve">One. We rebuilt Ireland from first principles. </w:t>
      </w:r>
      <w:r>
        <w:rPr>
          <w:b w:val="0"/>
          <w:color w:val="1A1A1A"/>
          <w:sz w:val="21"/>
        </w:rPr>
        <w:t>Using the Irish registration history already recorded in the model and the correct survival curve, we reproduce the 2025 fleet of 731 trucks exactly. That confirms we understand the engine. Running that same engine forward with the same sales plan gives materially lower numbers than the model currently shows.</w:t>
      </w:r>
    </w:p>
    <w:tbl>
      <w:tblPr>
        <w:tblStyle w:val="TableGrid"/>
        <w:tblW w:type="auto" w:w="0"/>
        <w:jc w:val="left"/>
        <w:tblLayout w:type="fixed"/>
        <w:tblLook w:firstColumn="1" w:firstRow="1" w:lastColumn="0" w:lastRow="0" w:noHBand="0" w:noVBand="1" w:val="04A0"/>
      </w:tblPr>
      <w:tblGrid>
        <w:gridCol w:w="2296"/>
        <w:gridCol w:w="2296"/>
        <w:gridCol w:w="2296"/>
        <w:gridCol w:w="2296"/>
      </w:tblGrid>
      <w:tr>
        <w:tc>
          <w:tcPr>
            <w:tcW w:type="dxa" w:w="3175"/>
            <w:shd w:val="clear" w:fill="1F3552"/>
          </w:tcPr>
          <w:p>
            <w:pPr>
              <w:spacing w:after="40" w:before="40"/>
              <w:jc w:val="left"/>
            </w:pPr>
            <w:r>
              <w:rPr>
                <w:b/>
                <w:color w:val="FFFFFF"/>
                <w:sz w:val="18"/>
              </w:rPr>
              <w:t>Ireland, year 2030</w:t>
            </w:r>
          </w:p>
        </w:tc>
        <w:tc>
          <w:tcPr>
            <w:tcW w:type="dxa" w:w="2041"/>
            <w:shd w:val="clear" w:fill="1F3552"/>
          </w:tcPr>
          <w:p>
            <w:pPr>
              <w:spacing w:after="40" w:before="40"/>
              <w:jc w:val="right"/>
            </w:pPr>
            <w:r>
              <w:rPr>
                <w:b/>
                <w:color w:val="FFFFFF"/>
                <w:sz w:val="18"/>
              </w:rPr>
              <w:t>Current model</w:t>
            </w:r>
          </w:p>
        </w:tc>
        <w:tc>
          <w:tcPr>
            <w:tcW w:type="dxa" w:w="2041"/>
            <w:shd w:val="clear" w:fill="1F3552"/>
          </w:tcPr>
          <w:p>
            <w:pPr>
              <w:spacing w:after="40" w:before="40"/>
              <w:jc w:val="right"/>
            </w:pPr>
            <w:r>
              <w:rPr>
                <w:b/>
                <w:color w:val="FFFFFF"/>
                <w:sz w:val="18"/>
              </w:rPr>
              <w:t>Correct method</w:t>
            </w:r>
          </w:p>
        </w:tc>
        <w:tc>
          <w:tcPr>
            <w:tcW w:type="dxa" w:w="1928"/>
            <w:shd w:val="clear" w:fill="1F3552"/>
          </w:tcPr>
          <w:p>
            <w:pPr>
              <w:spacing w:after="40" w:before="40"/>
              <w:jc w:val="right"/>
            </w:pPr>
            <w:r>
              <w:rPr>
                <w:b/>
                <w:color w:val="FFFFFF"/>
                <w:sz w:val="18"/>
              </w:rPr>
              <w:t>Overstated by</w:t>
            </w:r>
          </w:p>
        </w:tc>
      </w:tr>
      <w:tr>
        <w:tc>
          <w:tcPr>
            <w:tcW w:type="dxa" w:w="3175"/>
          </w:tcPr>
          <w:p>
            <w:pPr>
              <w:spacing w:after="40" w:before="40"/>
              <w:jc w:val="left"/>
            </w:pPr>
            <w:r>
              <w:rPr>
                <w:b w:val="0"/>
                <w:sz w:val="19"/>
              </w:rPr>
              <w:t>Light trucks</w:t>
            </w:r>
          </w:p>
        </w:tc>
        <w:tc>
          <w:tcPr>
            <w:tcW w:type="dxa" w:w="2041"/>
          </w:tcPr>
          <w:p>
            <w:pPr>
              <w:spacing w:after="40" w:before="40"/>
              <w:jc w:val="right"/>
            </w:pPr>
            <w:r>
              <w:rPr>
                <w:b w:val="0"/>
                <w:sz w:val="19"/>
              </w:rPr>
              <w:t>1,645</w:t>
            </w:r>
          </w:p>
        </w:tc>
        <w:tc>
          <w:tcPr>
            <w:tcW w:type="dxa" w:w="2041"/>
          </w:tcPr>
          <w:p>
            <w:pPr>
              <w:spacing w:after="40" w:before="40"/>
              <w:jc w:val="right"/>
            </w:pPr>
            <w:r>
              <w:rPr>
                <w:b w:val="0"/>
                <w:sz w:val="19"/>
              </w:rPr>
              <w:t>1,382</w:t>
            </w:r>
          </w:p>
        </w:tc>
        <w:tc>
          <w:tcPr>
            <w:tcW w:type="dxa" w:w="1928"/>
          </w:tcPr>
          <w:p>
            <w:pPr>
              <w:spacing w:after="40" w:before="40"/>
              <w:jc w:val="right"/>
            </w:pPr>
            <w:r>
              <w:rPr>
                <w:b/>
                <w:sz w:val="19"/>
              </w:rPr>
              <w:t>19 %</w:t>
            </w:r>
          </w:p>
        </w:tc>
      </w:tr>
      <w:tr>
        <w:tc>
          <w:tcPr>
            <w:tcW w:type="dxa" w:w="3175"/>
            <w:shd w:val="clear" w:fill="F2F4F7"/>
          </w:tcPr>
          <w:p>
            <w:pPr>
              <w:spacing w:after="40" w:before="40"/>
              <w:jc w:val="left"/>
            </w:pPr>
            <w:r>
              <w:rPr>
                <w:b w:val="0"/>
                <w:sz w:val="19"/>
              </w:rPr>
              <w:t>Pickups</w:t>
            </w:r>
          </w:p>
        </w:tc>
        <w:tc>
          <w:tcPr>
            <w:tcW w:type="dxa" w:w="2041"/>
            <w:shd w:val="clear" w:fill="F2F4F7"/>
          </w:tcPr>
          <w:p>
            <w:pPr>
              <w:spacing w:after="40" w:before="40"/>
              <w:jc w:val="right"/>
            </w:pPr>
            <w:r>
              <w:rPr>
                <w:b w:val="0"/>
                <w:sz w:val="19"/>
              </w:rPr>
              <w:t>3,174</w:t>
            </w:r>
          </w:p>
        </w:tc>
        <w:tc>
          <w:tcPr>
            <w:tcW w:type="dxa" w:w="2041"/>
            <w:shd w:val="clear" w:fill="F2F4F7"/>
          </w:tcPr>
          <w:p>
            <w:pPr>
              <w:spacing w:after="40" w:before="40"/>
              <w:jc w:val="right"/>
            </w:pPr>
            <w:r>
              <w:rPr>
                <w:b w:val="0"/>
                <w:sz w:val="19"/>
              </w:rPr>
              <w:t>2,527</w:t>
            </w:r>
          </w:p>
        </w:tc>
        <w:tc>
          <w:tcPr>
            <w:tcW w:type="dxa" w:w="1928"/>
            <w:shd w:val="clear" w:fill="F2F4F7"/>
          </w:tcPr>
          <w:p>
            <w:pPr>
              <w:spacing w:after="40" w:before="40"/>
              <w:jc w:val="right"/>
            </w:pPr>
            <w:r>
              <w:rPr>
                <w:b/>
                <w:sz w:val="19"/>
              </w:rPr>
              <w:t>26 %</w:t>
            </w:r>
          </w:p>
        </w:tc>
      </w:tr>
    </w:tbl>
    <w:p>
      <w:pPr>
        <w:spacing w:after="80" w:before="0"/>
      </w:pPr>
    </w:p>
    <w:p>
      <w:pPr>
        <w:spacing w:after="140"/>
      </w:pPr>
      <w:r>
        <w:rPr>
          <w:b/>
          <w:color w:val="1A1A1A"/>
          <w:sz w:val="21"/>
        </w:rPr>
        <w:t xml:space="preserve">Two. The end state is implausible. </w:t>
      </w:r>
      <w:r>
        <w:rPr>
          <w:b w:val="0"/>
          <w:color w:val="1A1A1A"/>
          <w:sz w:val="21"/>
        </w:rPr>
        <w:t>If Ireland registers 216 trucks a year indefinitely, the fleet settles at roughly 2,100 vehicles. Under the 3 % assumption it settles at 7,200. The 2030 figure is only the start of the error — it continues to compound after that.</w:t>
      </w:r>
    </w:p>
    <w:p>
      <w:pPr>
        <w:spacing w:after="140"/>
      </w:pPr>
      <w:r>
        <w:rPr>
          <w:b/>
          <w:color w:val="1A1A1A"/>
          <w:sz w:val="21"/>
        </w:rPr>
        <w:t xml:space="preserve">Three. We measured actual scrappage. </w:t>
      </w:r>
      <w:r>
        <w:rPr>
          <w:b w:val="0"/>
          <w:color w:val="1A1A1A"/>
          <w:sz w:val="21"/>
        </w:rPr>
        <w:t>Using new vehicle-level shipment records, we counted the trucks physically sent to each market and compared that against how the fleet actually moved. Ireland scraps 13.3 % a year, Portugal 7.4 %. These are the only two markets whose history is built on real registration data, so they are the only two where the measurement is meaningful. They average close to 10 %, which is what the survival curve predicts. The model uses 3 %.</w:t>
      </w:r>
    </w:p>
    <w:p>
      <w:pPr>
        <w:pStyle w:val="Heading2"/>
      </w:pPr>
      <w:r>
        <w:t>What it is worth</w:t>
      </w:r>
    </w:p>
    <w:tbl>
      <w:tblPr>
        <w:tblStyle w:val="TableGrid"/>
        <w:tblW w:type="auto" w:w="0"/>
        <w:jc w:val="left"/>
        <w:tblLayout w:type="fixed"/>
        <w:tblLook w:firstColumn="1" w:firstRow="1" w:lastColumn="0" w:lastRow="0" w:noHBand="0" w:noVBand="1" w:val="04A0"/>
      </w:tblPr>
      <w:tblGrid>
        <w:gridCol w:w="1531"/>
        <w:gridCol w:w="1531"/>
        <w:gridCol w:w="1531"/>
        <w:gridCol w:w="1531"/>
        <w:gridCol w:w="1531"/>
        <w:gridCol w:w="1531"/>
      </w:tblGrid>
      <w:tr>
        <w:tc>
          <w:tcPr>
            <w:tcW w:type="dxa" w:w="2494"/>
            <w:shd w:val="clear" w:fill="1F3552"/>
          </w:tcPr>
          <w:p>
            <w:pPr>
              <w:spacing w:after="40" w:before="40"/>
              <w:jc w:val="left"/>
            </w:pPr>
            <w:r>
              <w:rPr>
                <w:b/>
                <w:color w:val="FFFFFF"/>
                <w:sz w:val="18"/>
              </w:rPr>
              <w:t>European fleet total</w:t>
            </w:r>
          </w:p>
        </w:tc>
        <w:tc>
          <w:tcPr>
            <w:tcW w:type="dxa" w:w="879"/>
            <w:shd w:val="clear" w:fill="1F3552"/>
          </w:tcPr>
          <w:p>
            <w:pPr>
              <w:spacing w:after="40" w:before="40"/>
              <w:jc w:val="right"/>
            </w:pPr>
            <w:r>
              <w:rPr>
                <w:b/>
                <w:color w:val="FFFFFF"/>
                <w:sz w:val="18"/>
              </w:rPr>
              <w:t>2026</w:t>
            </w:r>
          </w:p>
        </w:tc>
        <w:tc>
          <w:tcPr>
            <w:tcW w:type="dxa" w:w="879"/>
            <w:shd w:val="clear" w:fill="1F3552"/>
          </w:tcPr>
          <w:p>
            <w:pPr>
              <w:spacing w:after="40" w:before="40"/>
              <w:jc w:val="right"/>
            </w:pPr>
            <w:r>
              <w:rPr>
                <w:b/>
                <w:color w:val="FFFFFF"/>
                <w:sz w:val="18"/>
              </w:rPr>
              <w:t>2027</w:t>
            </w:r>
          </w:p>
        </w:tc>
        <w:tc>
          <w:tcPr>
            <w:tcW w:type="dxa" w:w="879"/>
            <w:shd w:val="clear" w:fill="1F3552"/>
          </w:tcPr>
          <w:p>
            <w:pPr>
              <w:spacing w:after="40" w:before="40"/>
              <w:jc w:val="right"/>
            </w:pPr>
            <w:r>
              <w:rPr>
                <w:b/>
                <w:color w:val="FFFFFF"/>
                <w:sz w:val="18"/>
              </w:rPr>
              <w:t>2028</w:t>
            </w:r>
          </w:p>
        </w:tc>
        <w:tc>
          <w:tcPr>
            <w:tcW w:type="dxa" w:w="879"/>
            <w:shd w:val="clear" w:fill="1F3552"/>
          </w:tcPr>
          <w:p>
            <w:pPr>
              <w:spacing w:after="40" w:before="40"/>
              <w:jc w:val="right"/>
            </w:pPr>
            <w:r>
              <w:rPr>
                <w:b/>
                <w:color w:val="FFFFFF"/>
                <w:sz w:val="18"/>
              </w:rPr>
              <w:t>2029</w:t>
            </w:r>
          </w:p>
        </w:tc>
        <w:tc>
          <w:tcPr>
            <w:tcW w:type="dxa" w:w="907"/>
            <w:shd w:val="clear" w:fill="1F3552"/>
          </w:tcPr>
          <w:p>
            <w:pPr>
              <w:spacing w:after="40" w:before="40"/>
              <w:jc w:val="right"/>
            </w:pPr>
            <w:r>
              <w:rPr>
                <w:b/>
                <w:color w:val="FFFFFF"/>
                <w:sz w:val="18"/>
              </w:rPr>
              <w:t>2030</w:t>
            </w:r>
          </w:p>
        </w:tc>
      </w:tr>
      <w:tr>
        <w:tc>
          <w:tcPr>
            <w:tcW w:type="dxa" w:w="2494"/>
          </w:tcPr>
          <w:p>
            <w:pPr>
              <w:spacing w:after="40" w:before="40"/>
              <w:jc w:val="left"/>
            </w:pPr>
            <w:r>
              <w:rPr>
                <w:b w:val="0"/>
                <w:sz w:val="19"/>
              </w:rPr>
              <w:t>Overstated by</w:t>
            </w:r>
          </w:p>
        </w:tc>
        <w:tc>
          <w:tcPr>
            <w:tcW w:type="dxa" w:w="879"/>
          </w:tcPr>
          <w:p>
            <w:pPr>
              <w:spacing w:after="40" w:before="40"/>
              <w:jc w:val="right"/>
            </w:pPr>
            <w:r>
              <w:rPr>
                <w:b w:val="0"/>
                <w:sz w:val="19"/>
              </w:rPr>
              <w:t>7.8 %</w:t>
            </w:r>
          </w:p>
        </w:tc>
        <w:tc>
          <w:tcPr>
            <w:tcW w:type="dxa" w:w="879"/>
          </w:tcPr>
          <w:p>
            <w:pPr>
              <w:spacing w:after="40" w:before="40"/>
              <w:jc w:val="right"/>
            </w:pPr>
            <w:r>
              <w:rPr>
                <w:b w:val="0"/>
                <w:sz w:val="19"/>
              </w:rPr>
              <w:t>15.6 %</w:t>
            </w:r>
          </w:p>
        </w:tc>
        <w:tc>
          <w:tcPr>
            <w:tcW w:type="dxa" w:w="879"/>
          </w:tcPr>
          <w:p>
            <w:pPr>
              <w:spacing w:after="40" w:before="40"/>
              <w:jc w:val="right"/>
            </w:pPr>
            <w:r>
              <w:rPr>
                <w:b w:val="0"/>
                <w:sz w:val="19"/>
              </w:rPr>
              <w:t>23.2 %</w:t>
            </w:r>
          </w:p>
        </w:tc>
        <w:tc>
          <w:tcPr>
            <w:tcW w:type="dxa" w:w="879"/>
          </w:tcPr>
          <w:p>
            <w:pPr>
              <w:spacing w:after="40" w:before="40"/>
              <w:jc w:val="right"/>
            </w:pPr>
            <w:r>
              <w:rPr>
                <w:b w:val="0"/>
                <w:sz w:val="19"/>
              </w:rPr>
              <w:t>30.6 %</w:t>
            </w:r>
          </w:p>
        </w:tc>
        <w:tc>
          <w:tcPr>
            <w:tcW w:type="dxa" w:w="907"/>
          </w:tcPr>
          <w:p>
            <w:pPr>
              <w:spacing w:after="40" w:before="40"/>
              <w:jc w:val="right"/>
            </w:pPr>
            <w:r>
              <w:rPr>
                <w:b/>
                <w:sz w:val="19"/>
              </w:rPr>
              <w:t>37.7 %</w:t>
            </w:r>
          </w:p>
        </w:tc>
      </w:tr>
    </w:tbl>
    <w:p>
      <w:pPr>
        <w:spacing w:after="80" w:before="0"/>
      </w:pPr>
    </w:p>
    <w:p>
      <w:pPr>
        <w:spacing w:after="140"/>
      </w:pPr>
      <w:r>
        <w:rPr>
          <w:b/>
          <w:color w:val="1A1A1A"/>
          <w:sz w:val="21"/>
        </w:rPr>
        <w:t xml:space="preserve">The fix: </w:t>
      </w:r>
      <w:r>
        <w:rPr>
          <w:b w:val="0"/>
          <w:color w:val="1A1A1A"/>
          <w:sz w:val="21"/>
        </w:rPr>
        <w:t>remove the flat 3 % assumption and use the same survival-curve method for 2026–2030 that we already use for 1990–2025. One method across the whole time series, with no join in the middle. The United Kingdom already works this way and needs no change.</w:t>
      </w:r>
    </w:p>
    <w:p>
      <w:pPr>
        <w:pStyle w:val="Heading1"/>
      </w:pPr>
      <w:r>
        <w:t>4.  Issue two — the pickup fleet is forecast to grow when it should be shrinking</w:t>
      </w:r>
    </w:p>
    <w:p>
      <w:pPr>
        <w:spacing w:after="140" w:before="0"/>
      </w:pPr>
      <w:r>
        <w:rPr>
          <w:b w:val="0"/>
          <w:i w:val="0"/>
          <w:color w:val="1A1A1A"/>
          <w:sz w:val="21"/>
        </w:rPr>
        <w:t>This is the same defect, but for pickups it does not merely inflate the number — it reverses the direction.</w:t>
      </w:r>
    </w:p>
    <w:p>
      <w:pPr>
        <w:spacing w:after="140" w:before="0"/>
      </w:pPr>
      <w:r>
        <w:rPr>
          <w:b w:val="0"/>
          <w:i w:val="0"/>
          <w:color w:val="1A1A1A"/>
          <w:sz w:val="21"/>
        </w:rPr>
        <w:t>The pickup registration inputs come from the IMIT study of November 2025. We verified every figure in the model against that study and they match exactly. The inputs are not the issue. The issue is what the study actually forecasts.</w:t>
      </w:r>
    </w:p>
    <w:tbl>
      <w:tblPr>
        <w:tblStyle w:val="TableGrid"/>
        <w:tblW w:type="auto" w:w="0"/>
        <w:jc w:val="left"/>
        <w:tblLayout w:type="fixed"/>
        <w:tblLook w:firstColumn="1" w:firstRow="1" w:lastColumn="0" w:lastRow="0" w:noHBand="0" w:noVBand="1" w:val="04A0"/>
      </w:tblPr>
      <w:tblGrid>
        <w:gridCol w:w="1837"/>
        <w:gridCol w:w="1837"/>
        <w:gridCol w:w="1837"/>
        <w:gridCol w:w="1837"/>
        <w:gridCol w:w="1837"/>
      </w:tblGrid>
      <w:tr>
        <w:tc>
          <w:tcPr>
            <w:tcW w:type="dxa" w:w="4082"/>
            <w:shd w:val="clear" w:fill="1F3552"/>
          </w:tcPr>
          <w:p>
            <w:pPr>
              <w:spacing w:after="40" w:before="40"/>
              <w:jc w:val="left"/>
            </w:pPr>
            <w:r>
              <w:rPr>
                <w:b/>
                <w:color w:val="FFFFFF"/>
                <w:sz w:val="18"/>
              </w:rPr>
              <w:t>ISZE pickup registrations per IMIT</w:t>
            </w:r>
          </w:p>
        </w:tc>
        <w:tc>
          <w:tcPr>
            <w:tcW w:type="dxa" w:w="1276"/>
            <w:shd w:val="clear" w:fill="1F3552"/>
          </w:tcPr>
          <w:p>
            <w:pPr>
              <w:spacing w:after="40" w:before="40"/>
              <w:jc w:val="right"/>
            </w:pPr>
            <w:r>
              <w:rPr>
                <w:b/>
                <w:color w:val="FFFFFF"/>
                <w:sz w:val="18"/>
              </w:rPr>
              <w:t>2024</w:t>
            </w:r>
          </w:p>
        </w:tc>
        <w:tc>
          <w:tcPr>
            <w:tcW w:type="dxa" w:w="1276"/>
            <w:shd w:val="clear" w:fill="1F3552"/>
          </w:tcPr>
          <w:p>
            <w:pPr>
              <w:spacing w:after="40" w:before="40"/>
              <w:jc w:val="right"/>
            </w:pPr>
            <w:r>
              <w:rPr>
                <w:b/>
                <w:color w:val="FFFFFF"/>
                <w:sz w:val="18"/>
              </w:rPr>
              <w:t>2025</w:t>
            </w:r>
          </w:p>
        </w:tc>
        <w:tc>
          <w:tcPr>
            <w:tcW w:type="dxa" w:w="1276"/>
            <w:shd w:val="clear" w:fill="1F3552"/>
          </w:tcPr>
          <w:p>
            <w:pPr>
              <w:spacing w:after="40" w:before="40"/>
              <w:jc w:val="right"/>
            </w:pPr>
            <w:r>
              <w:rPr>
                <w:b/>
                <w:color w:val="FFFFFF"/>
                <w:sz w:val="18"/>
              </w:rPr>
              <w:t>2026</w:t>
            </w:r>
          </w:p>
        </w:tc>
        <w:tc>
          <w:tcPr>
            <w:tcW w:type="dxa" w:w="1276"/>
            <w:shd w:val="clear" w:fill="1F3552"/>
          </w:tcPr>
          <w:p>
            <w:pPr>
              <w:spacing w:after="40" w:before="40"/>
              <w:jc w:val="right"/>
            </w:pPr>
            <w:r>
              <w:rPr>
                <w:b/>
                <w:color w:val="FFFFFF"/>
                <w:sz w:val="18"/>
              </w:rPr>
              <w:t>2027</w:t>
            </w:r>
          </w:p>
        </w:tc>
      </w:tr>
      <w:tr>
        <w:tc>
          <w:tcPr>
            <w:tcW w:type="dxa" w:w="4082"/>
          </w:tcPr>
          <w:p>
            <w:pPr>
              <w:spacing w:after="40" w:before="40"/>
              <w:jc w:val="left"/>
            </w:pPr>
            <w:r>
              <w:rPr>
                <w:b w:val="0"/>
                <w:sz w:val="19"/>
              </w:rPr>
              <w:t>Units</w:t>
            </w:r>
          </w:p>
        </w:tc>
        <w:tc>
          <w:tcPr>
            <w:tcW w:type="dxa" w:w="1276"/>
          </w:tcPr>
          <w:p>
            <w:pPr>
              <w:spacing w:after="40" w:before="40"/>
              <w:jc w:val="right"/>
            </w:pPr>
            <w:r>
              <w:rPr>
                <w:b w:val="0"/>
                <w:sz w:val="19"/>
              </w:rPr>
              <w:t>16,977</w:t>
            </w:r>
          </w:p>
        </w:tc>
        <w:tc>
          <w:tcPr>
            <w:tcW w:type="dxa" w:w="1276"/>
          </w:tcPr>
          <w:p>
            <w:pPr>
              <w:spacing w:after="40" w:before="40"/>
              <w:jc w:val="right"/>
            </w:pPr>
            <w:r>
              <w:rPr>
                <w:b w:val="0"/>
                <w:sz w:val="19"/>
              </w:rPr>
              <w:t>15,312</w:t>
            </w:r>
          </w:p>
        </w:tc>
        <w:tc>
          <w:tcPr>
            <w:tcW w:type="dxa" w:w="1276"/>
          </w:tcPr>
          <w:p>
            <w:pPr>
              <w:spacing w:after="40" w:before="40"/>
              <w:jc w:val="right"/>
            </w:pPr>
            <w:r>
              <w:rPr>
                <w:b/>
                <w:sz w:val="19"/>
              </w:rPr>
              <w:t>10,845</w:t>
            </w:r>
          </w:p>
        </w:tc>
        <w:tc>
          <w:tcPr>
            <w:tcW w:type="dxa" w:w="1276"/>
          </w:tcPr>
          <w:p>
            <w:pPr>
              <w:spacing w:after="40" w:before="40"/>
              <w:jc w:val="right"/>
            </w:pPr>
            <w:r>
              <w:rPr>
                <w:b w:val="0"/>
                <w:sz w:val="19"/>
              </w:rPr>
              <w:t>10,595</w:t>
            </w:r>
          </w:p>
        </w:tc>
      </w:tr>
    </w:tbl>
    <w:p>
      <w:pPr>
        <w:spacing w:after="80" w:before="0"/>
      </w:pPr>
    </w:p>
    <w:p>
      <w:pPr>
        <w:spacing w:after="140"/>
      </w:pPr>
      <w:r>
        <w:rPr>
          <w:b/>
          <w:color w:val="1A1A1A"/>
          <w:sz w:val="21"/>
        </w:rPr>
        <w:t>Registrations fall 29 %. Our model has the pickup fleet growing 22.8 % between 2025 and 2030. Both cannot be true.</w:t>
      </w:r>
    </w:p>
    <w:p>
      <w:pPr>
        <w:spacing w:after="140" w:before="0"/>
      </w:pPr>
      <w:r>
        <w:rPr>
          <w:b w:val="0"/>
          <w:i w:val="0"/>
          <w:color w:val="1A1A1A"/>
          <w:sz w:val="21"/>
        </w:rPr>
        <w:t>The clearest way to see it: at 10,845 registrations a year, the fleet can only sustain about 88,000 pickups. We currently have 125,000 on the road. The fleet is 42 % larger than the current registration rate can support. It must come down.</w:t>
      </w:r>
    </w:p>
    <w:p>
      <w:pPr>
        <w:spacing w:after="140"/>
      </w:pPr>
      <w:r>
        <w:rPr>
          <w:b/>
          <w:color w:val="1A1A1A"/>
          <w:sz w:val="21"/>
        </w:rPr>
        <w:t xml:space="preserve">The fix: </w:t>
      </w:r>
      <w:r>
        <w:rPr>
          <w:b w:val="0"/>
          <w:color w:val="1A1A1A"/>
          <w:sz w:val="21"/>
        </w:rPr>
        <w:t>none beyond issue one. Once the correct survival curve is applied, the pickup rows turn downward on their own. We flag it separately because it will be the largest single movement in the file, and it flows into every metric that divides by fleet size.</w:t>
      </w:r>
    </w:p>
    <w:p>
      <w:pPr>
        <w:pStyle w:val="Heading1"/>
      </w:pPr>
      <w:r>
        <w:t>5.  Issue three — the sales plan is treated as if every planned vehicle reaches the road</w:t>
      </w:r>
    </w:p>
    <w:p>
      <w:pPr>
        <w:spacing w:after="140" w:before="0"/>
      </w:pPr>
      <w:r>
        <w:rPr>
          <w:b w:val="0"/>
          <w:i w:val="0"/>
          <w:color w:val="1A1A1A"/>
          <w:sz w:val="21"/>
        </w:rPr>
        <w:t>The truck forecast for 2026–2030 is driven by the mid-term sales plan of November 2025. That plan counts vehicles ISZE ships to the distributor. The fleet counts vehicles registered with a government and driving on the road. The model treats the two as identical.</w:t>
      </w:r>
    </w:p>
    <w:tbl>
      <w:tblPr>
        <w:tblStyle w:val="TableGrid"/>
        <w:tblW w:type="auto" w:w="0"/>
        <w:jc w:val="left"/>
        <w:tblLayout w:type="fixed"/>
        <w:tblLook w:firstColumn="1" w:firstRow="1" w:lastColumn="0" w:lastRow="0" w:noHBand="0" w:noVBand="1" w:val="04A0"/>
      </w:tblPr>
      <w:tblGrid>
        <w:gridCol w:w="2296"/>
        <w:gridCol w:w="2296"/>
        <w:gridCol w:w="2296"/>
        <w:gridCol w:w="2296"/>
      </w:tblGrid>
      <w:tr>
        <w:tc>
          <w:tcPr>
            <w:tcW w:type="dxa" w:w="4082"/>
            <w:shd w:val="clear" w:fill="1F3552"/>
          </w:tcPr>
          <w:p>
            <w:pPr>
              <w:spacing w:after="40" w:before="40"/>
              <w:jc w:val="left"/>
            </w:pPr>
            <w:r>
              <w:rPr>
                <w:b/>
                <w:color w:val="FFFFFF"/>
                <w:sz w:val="18"/>
              </w:rPr>
              <w:t>Planned trucks per year</w:t>
            </w:r>
          </w:p>
        </w:tc>
        <w:tc>
          <w:tcPr>
            <w:tcW w:type="dxa" w:w="1701"/>
            <w:shd w:val="clear" w:fill="1F3552"/>
          </w:tcPr>
          <w:p>
            <w:pPr>
              <w:spacing w:after="40" w:before="40"/>
              <w:jc w:val="right"/>
            </w:pPr>
            <w:r>
              <w:rPr>
                <w:b/>
                <w:color w:val="FFFFFF"/>
                <w:sz w:val="18"/>
              </w:rPr>
              <w:t>FY2025</w:t>
            </w:r>
          </w:p>
        </w:tc>
        <w:tc>
          <w:tcPr>
            <w:tcW w:type="dxa" w:w="1701"/>
            <w:shd w:val="clear" w:fill="1F3552"/>
          </w:tcPr>
          <w:p>
            <w:pPr>
              <w:spacing w:after="40" w:before="40"/>
              <w:jc w:val="right"/>
            </w:pPr>
            <w:r>
              <w:rPr>
                <w:b/>
                <w:color w:val="FFFFFF"/>
                <w:sz w:val="18"/>
              </w:rPr>
              <w:t>FY2026</w:t>
            </w:r>
          </w:p>
        </w:tc>
        <w:tc>
          <w:tcPr>
            <w:tcW w:type="dxa" w:w="1701"/>
            <w:shd w:val="clear" w:fill="1F3552"/>
          </w:tcPr>
          <w:p>
            <w:pPr>
              <w:spacing w:after="40" w:before="40"/>
              <w:jc w:val="right"/>
            </w:pPr>
            <w:r>
              <w:rPr>
                <w:b/>
                <w:color w:val="FFFFFF"/>
                <w:sz w:val="18"/>
              </w:rPr>
              <w:t>FY2030</w:t>
            </w:r>
          </w:p>
        </w:tc>
      </w:tr>
      <w:tr>
        <w:tc>
          <w:tcPr>
            <w:tcW w:type="dxa" w:w="4082"/>
          </w:tcPr>
          <w:p>
            <w:pPr>
              <w:spacing w:after="40" w:before="40"/>
              <w:jc w:val="left"/>
            </w:pPr>
            <w:r>
              <w:rPr>
                <w:b w:val="0"/>
                <w:sz w:val="19"/>
              </w:rPr>
              <w:t>Ireland, light</w:t>
            </w:r>
          </w:p>
        </w:tc>
        <w:tc>
          <w:tcPr>
            <w:tcW w:type="dxa" w:w="1701"/>
          </w:tcPr>
          <w:p>
            <w:pPr>
              <w:spacing w:after="40" w:before="40"/>
              <w:jc w:val="right"/>
            </w:pPr>
            <w:r>
              <w:rPr>
                <w:b w:val="0"/>
                <w:sz w:val="19"/>
              </w:rPr>
              <w:t>26</w:t>
            </w:r>
          </w:p>
        </w:tc>
        <w:tc>
          <w:tcPr>
            <w:tcW w:type="dxa" w:w="1701"/>
          </w:tcPr>
          <w:p>
            <w:pPr>
              <w:spacing w:after="40" w:before="40"/>
              <w:jc w:val="right"/>
            </w:pPr>
            <w:r>
              <w:rPr>
                <w:b/>
                <w:sz w:val="19"/>
              </w:rPr>
              <w:t>216</w:t>
            </w:r>
          </w:p>
        </w:tc>
        <w:tc>
          <w:tcPr>
            <w:tcW w:type="dxa" w:w="1701"/>
          </w:tcPr>
          <w:p>
            <w:pPr>
              <w:spacing w:after="40" w:before="40"/>
              <w:jc w:val="right"/>
            </w:pPr>
            <w:r>
              <w:rPr>
                <w:b w:val="0"/>
                <w:sz w:val="19"/>
              </w:rPr>
              <w:t>216</w:t>
            </w:r>
          </w:p>
        </w:tc>
      </w:tr>
      <w:tr>
        <w:tc>
          <w:tcPr>
            <w:tcW w:type="dxa" w:w="4082"/>
            <w:shd w:val="clear" w:fill="F2F4F7"/>
          </w:tcPr>
          <w:p>
            <w:pPr>
              <w:spacing w:after="40" w:before="40"/>
              <w:jc w:val="left"/>
            </w:pPr>
            <w:r>
              <w:rPr>
                <w:b w:val="0"/>
                <w:sz w:val="19"/>
              </w:rPr>
              <w:t>Ireland, medium</w:t>
            </w:r>
          </w:p>
        </w:tc>
        <w:tc>
          <w:tcPr>
            <w:tcW w:type="dxa" w:w="1701"/>
            <w:shd w:val="clear" w:fill="F2F4F7"/>
          </w:tcPr>
          <w:p>
            <w:pPr>
              <w:spacing w:after="40" w:before="40"/>
              <w:jc w:val="right"/>
            </w:pPr>
            <w:r>
              <w:rPr>
                <w:b w:val="0"/>
                <w:sz w:val="19"/>
              </w:rPr>
              <w:t>1</w:t>
            </w:r>
          </w:p>
        </w:tc>
        <w:tc>
          <w:tcPr>
            <w:tcW w:type="dxa" w:w="1701"/>
            <w:shd w:val="clear" w:fill="F2F4F7"/>
          </w:tcPr>
          <w:p>
            <w:pPr>
              <w:spacing w:after="40" w:before="40"/>
              <w:jc w:val="right"/>
            </w:pPr>
            <w:r>
              <w:rPr>
                <w:b/>
                <w:sz w:val="19"/>
              </w:rPr>
              <w:t>36</w:t>
            </w:r>
          </w:p>
        </w:tc>
        <w:tc>
          <w:tcPr>
            <w:tcW w:type="dxa" w:w="1701"/>
            <w:shd w:val="clear" w:fill="F2F4F7"/>
          </w:tcPr>
          <w:p>
            <w:pPr>
              <w:spacing w:after="40" w:before="40"/>
              <w:jc w:val="right"/>
            </w:pPr>
            <w:r>
              <w:rPr>
                <w:b w:val="0"/>
                <w:sz w:val="19"/>
              </w:rPr>
              <w:t>36</w:t>
            </w:r>
          </w:p>
        </w:tc>
      </w:tr>
      <w:tr>
        <w:tc>
          <w:tcPr>
            <w:tcW w:type="dxa" w:w="4082"/>
          </w:tcPr>
          <w:p>
            <w:pPr>
              <w:spacing w:after="40" w:before="40"/>
              <w:jc w:val="left"/>
            </w:pPr>
            <w:r>
              <w:rPr>
                <w:b w:val="0"/>
                <w:sz w:val="19"/>
              </w:rPr>
              <w:t>Portugal, light</w:t>
            </w:r>
          </w:p>
        </w:tc>
        <w:tc>
          <w:tcPr>
            <w:tcW w:type="dxa" w:w="1701"/>
          </w:tcPr>
          <w:p>
            <w:pPr>
              <w:spacing w:after="40" w:before="40"/>
              <w:jc w:val="right"/>
            </w:pPr>
            <w:r>
              <w:rPr>
                <w:b w:val="0"/>
                <w:sz w:val="19"/>
              </w:rPr>
              <w:t>141</w:t>
            </w:r>
          </w:p>
        </w:tc>
        <w:tc>
          <w:tcPr>
            <w:tcW w:type="dxa" w:w="1701"/>
          </w:tcPr>
          <w:p>
            <w:pPr>
              <w:spacing w:after="40" w:before="40"/>
              <w:jc w:val="right"/>
            </w:pPr>
            <w:r>
              <w:rPr>
                <w:b/>
                <w:sz w:val="19"/>
              </w:rPr>
              <w:t>456</w:t>
            </w:r>
          </w:p>
        </w:tc>
        <w:tc>
          <w:tcPr>
            <w:tcW w:type="dxa" w:w="1701"/>
          </w:tcPr>
          <w:p>
            <w:pPr>
              <w:spacing w:after="40" w:before="40"/>
              <w:jc w:val="right"/>
            </w:pPr>
            <w:r>
              <w:rPr>
                <w:b w:val="0"/>
                <w:sz w:val="19"/>
              </w:rPr>
              <w:t>456</w:t>
            </w:r>
          </w:p>
        </w:tc>
      </w:tr>
      <w:tr>
        <w:tc>
          <w:tcPr>
            <w:tcW w:type="dxa" w:w="4082"/>
            <w:shd w:val="clear" w:fill="F2F4F7"/>
          </w:tcPr>
          <w:p>
            <w:pPr>
              <w:spacing w:after="40" w:before="40"/>
              <w:jc w:val="left"/>
            </w:pPr>
            <w:r>
              <w:rPr>
                <w:b w:val="0"/>
                <w:sz w:val="19"/>
              </w:rPr>
              <w:t>Portugal, medium</w:t>
            </w:r>
          </w:p>
        </w:tc>
        <w:tc>
          <w:tcPr>
            <w:tcW w:type="dxa" w:w="1701"/>
            <w:shd w:val="clear" w:fill="F2F4F7"/>
          </w:tcPr>
          <w:p>
            <w:pPr>
              <w:spacing w:after="40" w:before="40"/>
              <w:jc w:val="right"/>
            </w:pPr>
            <w:r>
              <w:rPr>
                <w:b w:val="0"/>
                <w:sz w:val="19"/>
              </w:rPr>
              <w:t>1</w:t>
            </w:r>
          </w:p>
        </w:tc>
        <w:tc>
          <w:tcPr>
            <w:tcW w:type="dxa" w:w="1701"/>
            <w:shd w:val="clear" w:fill="F2F4F7"/>
          </w:tcPr>
          <w:p>
            <w:pPr>
              <w:spacing w:after="40" w:before="40"/>
              <w:jc w:val="right"/>
            </w:pPr>
            <w:r>
              <w:rPr>
                <w:b/>
                <w:sz w:val="19"/>
              </w:rPr>
              <w:t>96</w:t>
            </w:r>
          </w:p>
        </w:tc>
        <w:tc>
          <w:tcPr>
            <w:tcW w:type="dxa" w:w="1701"/>
            <w:shd w:val="clear" w:fill="F2F4F7"/>
          </w:tcPr>
          <w:p>
            <w:pPr>
              <w:spacing w:after="40" w:before="40"/>
              <w:jc w:val="right"/>
            </w:pPr>
            <w:r>
              <w:rPr>
                <w:b w:val="0"/>
                <w:sz w:val="19"/>
              </w:rPr>
              <w:t>108</w:t>
            </w:r>
          </w:p>
        </w:tc>
      </w:tr>
      <w:tr>
        <w:tc>
          <w:tcPr>
            <w:tcW w:type="dxa" w:w="4082"/>
          </w:tcPr>
          <w:p>
            <w:pPr>
              <w:spacing w:after="40" w:before="40"/>
              <w:jc w:val="left"/>
            </w:pPr>
            <w:r>
              <w:rPr>
                <w:b w:val="0"/>
                <w:sz w:val="19"/>
              </w:rPr>
              <w:t>Germany, light</w:t>
            </w:r>
          </w:p>
        </w:tc>
        <w:tc>
          <w:tcPr>
            <w:tcW w:type="dxa" w:w="1701"/>
          </w:tcPr>
          <w:p>
            <w:pPr>
              <w:spacing w:after="40" w:before="40"/>
              <w:jc w:val="right"/>
            </w:pPr>
            <w:r>
              <w:rPr>
                <w:b w:val="0"/>
                <w:sz w:val="19"/>
              </w:rPr>
              <w:t>—</w:t>
            </w:r>
          </w:p>
        </w:tc>
        <w:tc>
          <w:tcPr>
            <w:tcW w:type="dxa" w:w="1701"/>
          </w:tcPr>
          <w:p>
            <w:pPr>
              <w:spacing w:after="40" w:before="40"/>
              <w:jc w:val="right"/>
            </w:pPr>
            <w:r>
              <w:rPr>
                <w:b w:val="0"/>
                <w:sz w:val="19"/>
              </w:rPr>
              <w:t>390</w:t>
            </w:r>
          </w:p>
        </w:tc>
        <w:tc>
          <w:tcPr>
            <w:tcW w:type="dxa" w:w="1701"/>
          </w:tcPr>
          <w:p>
            <w:pPr>
              <w:spacing w:after="40" w:before="40"/>
              <w:jc w:val="right"/>
            </w:pPr>
            <w:r>
              <w:rPr>
                <w:b/>
                <w:sz w:val="19"/>
              </w:rPr>
              <w:t>1,000</w:t>
            </w:r>
          </w:p>
        </w:tc>
      </w:tr>
      <w:tr>
        <w:tc>
          <w:tcPr>
            <w:tcW w:type="dxa" w:w="4082"/>
            <w:shd w:val="clear" w:fill="F2F4F7"/>
          </w:tcPr>
          <w:p>
            <w:pPr>
              <w:spacing w:after="40" w:before="40"/>
              <w:jc w:val="left"/>
            </w:pPr>
            <w:r>
              <w:rPr>
                <w:b w:val="0"/>
                <w:sz w:val="19"/>
              </w:rPr>
              <w:t>Europe total</w:t>
            </w:r>
          </w:p>
        </w:tc>
        <w:tc>
          <w:tcPr>
            <w:tcW w:type="dxa" w:w="1701"/>
            <w:shd w:val="clear" w:fill="F2F4F7"/>
          </w:tcPr>
          <w:p>
            <w:pPr>
              <w:spacing w:after="40" w:before="40"/>
              <w:jc w:val="right"/>
            </w:pPr>
            <w:r>
              <w:rPr>
                <w:b/>
                <w:sz w:val="19"/>
              </w:rPr>
              <w:t>630</w:t>
            </w:r>
          </w:p>
        </w:tc>
        <w:tc>
          <w:tcPr>
            <w:tcW w:type="dxa" w:w="1701"/>
            <w:shd w:val="clear" w:fill="F2F4F7"/>
          </w:tcPr>
          <w:p>
            <w:pPr>
              <w:spacing w:after="40" w:before="40"/>
              <w:jc w:val="right"/>
            </w:pPr>
            <w:r>
              <w:rPr>
                <w:b/>
                <w:sz w:val="19"/>
              </w:rPr>
              <w:t>1,325</w:t>
            </w:r>
          </w:p>
        </w:tc>
        <w:tc>
          <w:tcPr>
            <w:tcW w:type="dxa" w:w="1701"/>
            <w:shd w:val="clear" w:fill="F2F4F7"/>
          </w:tcPr>
          <w:p>
            <w:pPr>
              <w:spacing w:after="40" w:before="40"/>
              <w:jc w:val="right"/>
            </w:pPr>
            <w:r>
              <w:rPr>
                <w:b/>
                <w:sz w:val="19"/>
              </w:rPr>
              <w:t>1,935</w:t>
            </w:r>
          </w:p>
        </w:tc>
      </w:tr>
    </w:tbl>
    <w:p>
      <w:pPr>
        <w:spacing w:after="80" w:before="0"/>
      </w:pPr>
    </w:p>
    <w:p>
      <w:pPr>
        <w:pStyle w:val="Heading2"/>
      </w:pPr>
      <w:r>
        <w:t>Our position, and the evidence for it</w:t>
      </w:r>
    </w:p>
    <w:p>
      <w:pPr>
        <w:spacing w:after="140"/>
      </w:pPr>
      <w:r>
        <w:rPr>
          <w:b/>
          <w:color w:val="1A1A1A"/>
          <w:sz w:val="21"/>
        </w:rPr>
        <w:t>We will use the sales plan one-to-one, on the assumption that distributor stock levels remain broadly stable.</w:t>
      </w:r>
      <w:r>
        <w:rPr>
          <w:b w:val="0"/>
          <w:color w:val="1A1A1A"/>
          <w:sz w:val="21"/>
        </w:rPr>
        <w:t xml:space="preserve"> The new shipment records let us test that assumption for the first time, in Ireland, where we hold both shipment and government registration records.</w:t>
      </w:r>
    </w:p>
    <w:tbl>
      <w:tblPr>
        <w:tblStyle w:val="TableGrid"/>
        <w:tblW w:type="auto" w:w="0"/>
        <w:jc w:val="left"/>
        <w:tblLayout w:type="fixed"/>
        <w:tblLook w:firstColumn="1" w:firstRow="1" w:lastColumn="0" w:lastRow="0" w:noHBand="0" w:noVBand="1" w:val="04A0"/>
      </w:tblPr>
      <w:tblGrid>
        <w:gridCol w:w="2296"/>
        <w:gridCol w:w="2296"/>
        <w:gridCol w:w="2296"/>
        <w:gridCol w:w="2296"/>
      </w:tblGrid>
      <w:tr>
        <w:tc>
          <w:tcPr>
            <w:tcW w:type="dxa" w:w="3175"/>
            <w:shd w:val="clear" w:fill="1F3552"/>
          </w:tcPr>
          <w:p>
            <w:pPr>
              <w:spacing w:after="40" w:before="40"/>
              <w:jc w:val="left"/>
            </w:pPr>
            <w:r>
              <w:rPr>
                <w:b/>
                <w:color w:val="FFFFFF"/>
                <w:sz w:val="18"/>
              </w:rPr>
              <w:t>Ireland</w:t>
            </w:r>
          </w:p>
        </w:tc>
        <w:tc>
          <w:tcPr>
            <w:tcW w:type="dxa" w:w="2041"/>
            <w:shd w:val="clear" w:fill="1F3552"/>
          </w:tcPr>
          <w:p>
            <w:pPr>
              <w:spacing w:after="40" w:before="40"/>
              <w:jc w:val="right"/>
            </w:pPr>
            <w:r>
              <w:rPr>
                <w:b/>
                <w:color w:val="FFFFFF"/>
                <w:sz w:val="18"/>
              </w:rPr>
              <w:t>Shipped</w:t>
            </w:r>
          </w:p>
        </w:tc>
        <w:tc>
          <w:tcPr>
            <w:tcW w:type="dxa" w:w="2041"/>
            <w:shd w:val="clear" w:fill="1F3552"/>
          </w:tcPr>
          <w:p>
            <w:pPr>
              <w:spacing w:after="40" w:before="40"/>
              <w:jc w:val="right"/>
            </w:pPr>
            <w:r>
              <w:rPr>
                <w:b/>
                <w:color w:val="FFFFFF"/>
                <w:sz w:val="18"/>
              </w:rPr>
              <w:t>Registered</w:t>
            </w:r>
          </w:p>
        </w:tc>
        <w:tc>
          <w:tcPr>
            <w:tcW w:type="dxa" w:w="1928"/>
            <w:shd w:val="clear" w:fill="1F3552"/>
          </w:tcPr>
          <w:p>
            <w:pPr>
              <w:spacing w:after="40" w:before="40"/>
              <w:jc w:val="right"/>
            </w:pPr>
            <w:r>
              <w:rPr>
                <w:b/>
                <w:color w:val="FFFFFF"/>
                <w:sz w:val="18"/>
              </w:rPr>
              <w:t>Difference</w:t>
            </w:r>
          </w:p>
        </w:tc>
      </w:tr>
      <w:tr>
        <w:tc>
          <w:tcPr>
            <w:tcW w:type="dxa" w:w="3175"/>
          </w:tcPr>
          <w:p>
            <w:pPr>
              <w:spacing w:after="40" w:before="40"/>
              <w:jc w:val="left"/>
            </w:pPr>
            <w:r>
              <w:rPr>
                <w:b w:val="0"/>
                <w:sz w:val="19"/>
              </w:rPr>
              <w:t>2020</w:t>
            </w:r>
          </w:p>
        </w:tc>
        <w:tc>
          <w:tcPr>
            <w:tcW w:type="dxa" w:w="2041"/>
          </w:tcPr>
          <w:p>
            <w:pPr>
              <w:spacing w:after="40" w:before="40"/>
              <w:jc w:val="right"/>
            </w:pPr>
            <w:r>
              <w:rPr>
                <w:b w:val="0"/>
                <w:sz w:val="19"/>
              </w:rPr>
              <w:t>79</w:t>
            </w:r>
          </w:p>
        </w:tc>
        <w:tc>
          <w:tcPr>
            <w:tcW w:type="dxa" w:w="2041"/>
          </w:tcPr>
          <w:p>
            <w:pPr>
              <w:spacing w:after="40" w:before="40"/>
              <w:jc w:val="right"/>
            </w:pPr>
            <w:r>
              <w:rPr>
                <w:b w:val="0"/>
                <w:sz w:val="19"/>
              </w:rPr>
              <w:t>63</w:t>
            </w:r>
          </w:p>
        </w:tc>
        <w:tc>
          <w:tcPr>
            <w:tcW w:type="dxa" w:w="1928"/>
          </w:tcPr>
          <w:p>
            <w:pPr>
              <w:spacing w:after="40" w:before="40"/>
              <w:jc w:val="right"/>
            </w:pPr>
            <w:r>
              <w:rPr>
                <w:b w:val="0"/>
                <w:sz w:val="19"/>
              </w:rPr>
              <w:t>+16</w:t>
            </w:r>
          </w:p>
        </w:tc>
      </w:tr>
      <w:tr>
        <w:tc>
          <w:tcPr>
            <w:tcW w:type="dxa" w:w="3175"/>
            <w:shd w:val="clear" w:fill="F2F4F7"/>
          </w:tcPr>
          <w:p>
            <w:pPr>
              <w:spacing w:after="40" w:before="40"/>
              <w:jc w:val="left"/>
            </w:pPr>
            <w:r>
              <w:rPr>
                <w:b w:val="0"/>
                <w:sz w:val="19"/>
              </w:rPr>
              <w:t>2021</w:t>
            </w:r>
          </w:p>
        </w:tc>
        <w:tc>
          <w:tcPr>
            <w:tcW w:type="dxa" w:w="2041"/>
            <w:shd w:val="clear" w:fill="F2F4F7"/>
          </w:tcPr>
          <w:p>
            <w:pPr>
              <w:spacing w:after="40" w:before="40"/>
              <w:jc w:val="right"/>
            </w:pPr>
            <w:r>
              <w:rPr>
                <w:b w:val="0"/>
                <w:sz w:val="19"/>
              </w:rPr>
              <w:t>108</w:t>
            </w:r>
          </w:p>
        </w:tc>
        <w:tc>
          <w:tcPr>
            <w:tcW w:type="dxa" w:w="2041"/>
            <w:shd w:val="clear" w:fill="F2F4F7"/>
          </w:tcPr>
          <w:p>
            <w:pPr>
              <w:spacing w:after="40" w:before="40"/>
              <w:jc w:val="right"/>
            </w:pPr>
            <w:r>
              <w:rPr>
                <w:b w:val="0"/>
                <w:sz w:val="19"/>
              </w:rPr>
              <w:t>98</w:t>
            </w:r>
          </w:p>
        </w:tc>
        <w:tc>
          <w:tcPr>
            <w:tcW w:type="dxa" w:w="1928"/>
            <w:shd w:val="clear" w:fill="F2F4F7"/>
          </w:tcPr>
          <w:p>
            <w:pPr>
              <w:spacing w:after="40" w:before="40"/>
              <w:jc w:val="right"/>
            </w:pPr>
            <w:r>
              <w:rPr>
                <w:b w:val="0"/>
                <w:sz w:val="19"/>
              </w:rPr>
              <w:t>+10</w:t>
            </w:r>
          </w:p>
        </w:tc>
      </w:tr>
      <w:tr>
        <w:tc>
          <w:tcPr>
            <w:tcW w:type="dxa" w:w="3175"/>
          </w:tcPr>
          <w:p>
            <w:pPr>
              <w:spacing w:after="40" w:before="40"/>
              <w:jc w:val="left"/>
            </w:pPr>
            <w:r>
              <w:rPr>
                <w:b w:val="0"/>
                <w:sz w:val="19"/>
              </w:rPr>
              <w:t>2022</w:t>
            </w:r>
          </w:p>
        </w:tc>
        <w:tc>
          <w:tcPr>
            <w:tcW w:type="dxa" w:w="2041"/>
          </w:tcPr>
          <w:p>
            <w:pPr>
              <w:spacing w:after="40" w:before="40"/>
              <w:jc w:val="right"/>
            </w:pPr>
            <w:r>
              <w:rPr>
                <w:b w:val="0"/>
                <w:sz w:val="19"/>
              </w:rPr>
              <w:t>88</w:t>
            </w:r>
          </w:p>
        </w:tc>
        <w:tc>
          <w:tcPr>
            <w:tcW w:type="dxa" w:w="2041"/>
          </w:tcPr>
          <w:p>
            <w:pPr>
              <w:spacing w:after="40" w:before="40"/>
              <w:jc w:val="right"/>
            </w:pPr>
            <w:r>
              <w:rPr>
                <w:b w:val="0"/>
                <w:sz w:val="19"/>
              </w:rPr>
              <w:t>96</w:t>
            </w:r>
          </w:p>
        </w:tc>
        <w:tc>
          <w:tcPr>
            <w:tcW w:type="dxa" w:w="1928"/>
          </w:tcPr>
          <w:p>
            <w:pPr>
              <w:spacing w:after="40" w:before="40"/>
              <w:jc w:val="right"/>
            </w:pPr>
            <w:r>
              <w:rPr>
                <w:b w:val="0"/>
                <w:sz w:val="19"/>
              </w:rPr>
              <w:t>−8</w:t>
            </w:r>
          </w:p>
        </w:tc>
      </w:tr>
      <w:tr>
        <w:tc>
          <w:tcPr>
            <w:tcW w:type="dxa" w:w="3175"/>
            <w:shd w:val="clear" w:fill="F2F4F7"/>
          </w:tcPr>
          <w:p>
            <w:pPr>
              <w:spacing w:after="40" w:before="40"/>
              <w:jc w:val="left"/>
            </w:pPr>
            <w:r>
              <w:rPr>
                <w:b w:val="0"/>
                <w:sz w:val="19"/>
              </w:rPr>
              <w:t>2023</w:t>
            </w:r>
          </w:p>
        </w:tc>
        <w:tc>
          <w:tcPr>
            <w:tcW w:type="dxa" w:w="2041"/>
            <w:shd w:val="clear" w:fill="F2F4F7"/>
          </w:tcPr>
          <w:p>
            <w:pPr>
              <w:spacing w:after="40" w:before="40"/>
              <w:jc w:val="right"/>
            </w:pPr>
            <w:r>
              <w:rPr>
                <w:b w:val="0"/>
                <w:sz w:val="19"/>
              </w:rPr>
              <w:t>122</w:t>
            </w:r>
          </w:p>
        </w:tc>
        <w:tc>
          <w:tcPr>
            <w:tcW w:type="dxa" w:w="2041"/>
            <w:shd w:val="clear" w:fill="F2F4F7"/>
          </w:tcPr>
          <w:p>
            <w:pPr>
              <w:spacing w:after="40" w:before="40"/>
              <w:jc w:val="right"/>
            </w:pPr>
            <w:r>
              <w:rPr>
                <w:b w:val="0"/>
                <w:sz w:val="19"/>
              </w:rPr>
              <w:t>71</w:t>
            </w:r>
          </w:p>
        </w:tc>
        <w:tc>
          <w:tcPr>
            <w:tcW w:type="dxa" w:w="1928"/>
            <w:shd w:val="clear" w:fill="F2F4F7"/>
          </w:tcPr>
          <w:p>
            <w:pPr>
              <w:spacing w:after="40" w:before="40"/>
              <w:jc w:val="right"/>
            </w:pPr>
            <w:r>
              <w:rPr>
                <w:b/>
                <w:sz w:val="19"/>
              </w:rPr>
              <w:t>+51</w:t>
            </w:r>
          </w:p>
        </w:tc>
      </w:tr>
      <w:tr>
        <w:tc>
          <w:tcPr>
            <w:tcW w:type="dxa" w:w="3175"/>
          </w:tcPr>
          <w:p>
            <w:pPr>
              <w:spacing w:after="40" w:before="40"/>
              <w:jc w:val="left"/>
            </w:pPr>
            <w:r>
              <w:rPr>
                <w:b w:val="0"/>
                <w:sz w:val="19"/>
              </w:rPr>
              <w:t>2024</w:t>
            </w:r>
          </w:p>
        </w:tc>
        <w:tc>
          <w:tcPr>
            <w:tcW w:type="dxa" w:w="2041"/>
          </w:tcPr>
          <w:p>
            <w:pPr>
              <w:spacing w:after="40" w:before="40"/>
              <w:jc w:val="right"/>
            </w:pPr>
            <w:r>
              <w:rPr>
                <w:b w:val="0"/>
                <w:sz w:val="19"/>
              </w:rPr>
              <w:t>54</w:t>
            </w:r>
          </w:p>
        </w:tc>
        <w:tc>
          <w:tcPr>
            <w:tcW w:type="dxa" w:w="2041"/>
          </w:tcPr>
          <w:p>
            <w:pPr>
              <w:spacing w:after="40" w:before="40"/>
              <w:jc w:val="right"/>
            </w:pPr>
            <w:r>
              <w:rPr>
                <w:b w:val="0"/>
                <w:sz w:val="19"/>
              </w:rPr>
              <w:t>117</w:t>
            </w:r>
          </w:p>
        </w:tc>
        <w:tc>
          <w:tcPr>
            <w:tcW w:type="dxa" w:w="1928"/>
          </w:tcPr>
          <w:p>
            <w:pPr>
              <w:spacing w:after="40" w:before="40"/>
              <w:jc w:val="right"/>
            </w:pPr>
            <w:r>
              <w:rPr>
                <w:b/>
                <w:sz w:val="19"/>
              </w:rPr>
              <w:t>−63</w:t>
            </w:r>
          </w:p>
        </w:tc>
      </w:tr>
      <w:tr>
        <w:tc>
          <w:tcPr>
            <w:tcW w:type="dxa" w:w="3175"/>
            <w:shd w:val="clear" w:fill="F2F4F7"/>
          </w:tcPr>
          <w:p>
            <w:pPr>
              <w:spacing w:after="40" w:before="40"/>
              <w:jc w:val="left"/>
            </w:pPr>
            <w:r>
              <w:rPr>
                <w:b w:val="0"/>
                <w:sz w:val="19"/>
              </w:rPr>
              <w:t>Five-year total</w:t>
            </w:r>
          </w:p>
        </w:tc>
        <w:tc>
          <w:tcPr>
            <w:tcW w:type="dxa" w:w="2041"/>
            <w:shd w:val="clear" w:fill="F2F4F7"/>
          </w:tcPr>
          <w:p>
            <w:pPr>
              <w:spacing w:after="40" w:before="40"/>
              <w:jc w:val="right"/>
            </w:pPr>
            <w:r>
              <w:rPr>
                <w:b/>
                <w:sz w:val="19"/>
              </w:rPr>
              <w:t>451</w:t>
            </w:r>
          </w:p>
        </w:tc>
        <w:tc>
          <w:tcPr>
            <w:tcW w:type="dxa" w:w="2041"/>
            <w:shd w:val="clear" w:fill="F2F4F7"/>
          </w:tcPr>
          <w:p>
            <w:pPr>
              <w:spacing w:after="40" w:before="40"/>
              <w:jc w:val="right"/>
            </w:pPr>
            <w:r>
              <w:rPr>
                <w:b/>
                <w:sz w:val="19"/>
              </w:rPr>
              <w:t>445</w:t>
            </w:r>
          </w:p>
        </w:tc>
        <w:tc>
          <w:tcPr>
            <w:tcW w:type="dxa" w:w="1928"/>
            <w:shd w:val="clear" w:fill="F2F4F7"/>
          </w:tcPr>
          <w:p>
            <w:pPr>
              <w:spacing w:after="40" w:before="40"/>
              <w:jc w:val="right"/>
            </w:pPr>
            <w:r>
              <w:rPr>
                <w:b/>
                <w:sz w:val="19"/>
              </w:rPr>
              <w:t>+6</w:t>
            </w:r>
          </w:p>
        </w:tc>
      </w:tr>
    </w:tbl>
    <w:p>
      <w:pPr>
        <w:spacing w:after="200" w:before="60"/>
      </w:pPr>
      <w:r>
        <w:rPr>
          <w:b w:val="0"/>
          <w:i/>
          <w:color w:val="595959"/>
          <w:sz w:val="17"/>
        </w:rPr>
        <w:t>Over five years the two sources agree within 1.3 %. Individual years diverge by 50 to 70 units because vehicles shipped in one year are frequently registered in the next.</w:t>
      </w:r>
    </w:p>
    <w:p>
      <w:pPr>
        <w:spacing w:after="140" w:before="0"/>
      </w:pPr>
      <w:r>
        <w:rPr>
          <w:b w:val="0"/>
          <w:i w:val="0"/>
          <w:color w:val="1A1A1A"/>
          <w:sz w:val="21"/>
        </w:rPr>
        <w:t>So the level is right, but the annual profile is not. We will apply the plan one-to-one for the level and smooth it, or apply a shipment-to-registration lag, for the year-by-year profile. Without that, individual forecast years will be visibly wrong even though the five-year total is correct.</w:t>
      </w:r>
    </w:p>
    <w:p>
      <w:pPr>
        <w:pStyle w:val="Heading2"/>
      </w:pPr>
      <w:r>
        <w:t>Two things that need fixing regardless</w:t>
      </w:r>
    </w:p>
    <w:p>
      <w:pPr>
        <w:pStyle w:val="ListBullet"/>
        <w:spacing w:after="80"/>
        <w:ind w:left="340"/>
      </w:pPr>
      <w:r>
        <w:rPr>
          <w:b/>
          <w:sz w:val="21"/>
        </w:rPr>
        <w:t xml:space="preserve">Medium-duty rows built from nothing. </w:t>
      </w:r>
      <w:r>
        <w:rPr>
          <w:sz w:val="21"/>
        </w:rPr>
        <w:t>Ireland, Portugal, Greece and Cyprus currently show a medium-duty fleet that grows purely on plan numbers from a base of zero. Portugal reaches 498 medium-duty trucks by 2030 having started with none. Across all 3,238 vehicles shipped to Europe since 2020, not one is a medium-duty unit. These rows should be held in a clearly marked plan-only block and kept out of the headline total until a first real registration appears.</w:t>
      </w:r>
    </w:p>
    <w:p>
      <w:pPr>
        <w:pStyle w:val="ListBullet"/>
        <w:spacing w:after="80"/>
        <w:ind w:left="340"/>
      </w:pPr>
      <w:r>
        <w:rPr>
          <w:b/>
          <w:sz w:val="21"/>
        </w:rPr>
        <w:t xml:space="preserve">Germany is the weakest point in the file. </w:t>
      </w:r>
      <w:r>
        <w:rPr>
          <w:sz w:val="21"/>
        </w:rPr>
        <w:t>The German truck fleet is shown growing from 697 vehicles in 2025 to 3,756 by 2030, an increase of 439 %. Its history for 2019–2024 was also generated by running the flat 3 % assumption backwards from a single 2025 data point. Both directions therefore rest on the same wrong number, in a market where we hold no registration data at all. Germany needs either a proper source or an explicit indicative marking.</w:t>
      </w:r>
    </w:p>
    <w:p>
      <w:pPr>
        <w:pStyle w:val="Heading1"/>
      </w:pPr>
      <w:r>
        <w:t>6.  Issue four — Israel is approximately a quarter too low in every year</w:t>
      </w:r>
    </w:p>
    <w:p>
      <w:pPr>
        <w:spacing w:after="140" w:before="0"/>
      </w:pPr>
      <w:r>
        <w:rPr>
          <w:b w:val="0"/>
          <w:i w:val="0"/>
          <w:color w:val="1A1A1A"/>
          <w:sz w:val="21"/>
        </w:rPr>
        <w:t>UTI's parts presentation of July 2026 contains registered fleet figures from the Israeli Ministry of Transport. That is government registration data — the same quality of source we adopted for Ireland, and better than the shipment file we currently rely on for Israel.</w:t>
      </w:r>
    </w:p>
    <w:tbl>
      <w:tblPr>
        <w:tblStyle w:val="TableGrid"/>
        <w:tblW w:type="auto" w:w="0"/>
        <w:jc w:val="left"/>
        <w:tblLayout w:type="fixed"/>
        <w:tblLook w:firstColumn="1" w:firstRow="1" w:lastColumn="0" w:lastRow="0" w:noHBand="0" w:noVBand="1" w:val="04A0"/>
      </w:tblPr>
      <w:tblGrid>
        <w:gridCol w:w="2296"/>
        <w:gridCol w:w="2296"/>
        <w:gridCol w:w="2296"/>
        <w:gridCol w:w="2296"/>
      </w:tblGrid>
      <w:tr>
        <w:tc>
          <w:tcPr>
            <w:tcW w:type="dxa" w:w="2494"/>
            <w:shd w:val="clear" w:fill="1F3552"/>
          </w:tcPr>
          <w:p>
            <w:pPr>
              <w:spacing w:after="40" w:before="40"/>
              <w:jc w:val="left"/>
            </w:pPr>
            <w:r>
              <w:rPr>
                <w:b/>
                <w:color w:val="FFFFFF"/>
                <w:sz w:val="18"/>
              </w:rPr>
              <w:t>Year</w:t>
            </w:r>
          </w:p>
        </w:tc>
        <w:tc>
          <w:tcPr>
            <w:tcW w:type="dxa" w:w="2211"/>
            <w:shd w:val="clear" w:fill="1F3552"/>
          </w:tcPr>
          <w:p>
            <w:pPr>
              <w:spacing w:after="40" w:before="40"/>
              <w:jc w:val="right"/>
            </w:pPr>
            <w:r>
              <w:rPr>
                <w:b/>
                <w:color w:val="FFFFFF"/>
                <w:sz w:val="18"/>
              </w:rPr>
              <w:t>Our model</w:t>
            </w:r>
          </w:p>
        </w:tc>
        <w:tc>
          <w:tcPr>
            <w:tcW w:type="dxa" w:w="2494"/>
            <w:shd w:val="clear" w:fill="1F3552"/>
          </w:tcPr>
          <w:p>
            <w:pPr>
              <w:spacing w:after="40" w:before="40"/>
              <w:jc w:val="right"/>
            </w:pPr>
            <w:r>
              <w:rPr>
                <w:b/>
                <w:color w:val="FFFFFF"/>
                <w:sz w:val="18"/>
              </w:rPr>
              <w:t>Government actual</w:t>
            </w:r>
          </w:p>
        </w:tc>
        <w:tc>
          <w:tcPr>
            <w:tcW w:type="dxa" w:w="1984"/>
            <w:shd w:val="clear" w:fill="1F3552"/>
          </w:tcPr>
          <w:p>
            <w:pPr>
              <w:spacing w:after="40" w:before="40"/>
              <w:jc w:val="right"/>
            </w:pPr>
            <w:r>
              <w:rPr>
                <w:b/>
                <w:color w:val="FFFFFF"/>
                <w:sz w:val="18"/>
              </w:rPr>
              <w:t>Gap</w:t>
            </w:r>
          </w:p>
        </w:tc>
      </w:tr>
      <w:tr>
        <w:tc>
          <w:tcPr>
            <w:tcW w:type="dxa" w:w="2494"/>
          </w:tcPr>
          <w:p>
            <w:pPr>
              <w:spacing w:after="40" w:before="40"/>
              <w:jc w:val="left"/>
            </w:pPr>
            <w:r>
              <w:rPr>
                <w:b w:val="0"/>
                <w:sz w:val="19"/>
              </w:rPr>
              <w:t>2020</w:t>
            </w:r>
          </w:p>
        </w:tc>
        <w:tc>
          <w:tcPr>
            <w:tcW w:type="dxa" w:w="2211"/>
          </w:tcPr>
          <w:p>
            <w:pPr>
              <w:spacing w:after="40" w:before="40"/>
              <w:jc w:val="right"/>
            </w:pPr>
            <w:r>
              <w:rPr>
                <w:b w:val="0"/>
                <w:sz w:val="19"/>
              </w:rPr>
              <w:t>7,793</w:t>
            </w:r>
          </w:p>
        </w:tc>
        <w:tc>
          <w:tcPr>
            <w:tcW w:type="dxa" w:w="2494"/>
          </w:tcPr>
          <w:p>
            <w:pPr>
              <w:spacing w:after="40" w:before="40"/>
              <w:jc w:val="right"/>
            </w:pPr>
            <w:r>
              <w:rPr>
                <w:b w:val="0"/>
                <w:sz w:val="19"/>
              </w:rPr>
              <w:t>11,514</w:t>
            </w:r>
          </w:p>
        </w:tc>
        <w:tc>
          <w:tcPr>
            <w:tcW w:type="dxa" w:w="1984"/>
          </w:tcPr>
          <w:p>
            <w:pPr>
              <w:spacing w:after="40" w:before="40"/>
              <w:jc w:val="right"/>
            </w:pPr>
            <w:r>
              <w:rPr>
                <w:b w:val="0"/>
                <w:sz w:val="19"/>
              </w:rPr>
              <w:t>−32.3 %</w:t>
            </w:r>
          </w:p>
        </w:tc>
      </w:tr>
      <w:tr>
        <w:tc>
          <w:tcPr>
            <w:tcW w:type="dxa" w:w="2494"/>
            <w:shd w:val="clear" w:fill="F2F4F7"/>
          </w:tcPr>
          <w:p>
            <w:pPr>
              <w:spacing w:after="40" w:before="40"/>
              <w:jc w:val="left"/>
            </w:pPr>
            <w:r>
              <w:rPr>
                <w:b w:val="0"/>
                <w:sz w:val="19"/>
              </w:rPr>
              <w:t>2022</w:t>
            </w:r>
          </w:p>
        </w:tc>
        <w:tc>
          <w:tcPr>
            <w:tcW w:type="dxa" w:w="2211"/>
            <w:shd w:val="clear" w:fill="F2F4F7"/>
          </w:tcPr>
          <w:p>
            <w:pPr>
              <w:spacing w:after="40" w:before="40"/>
              <w:jc w:val="right"/>
            </w:pPr>
            <w:r>
              <w:rPr>
                <w:b w:val="0"/>
                <w:sz w:val="19"/>
              </w:rPr>
              <w:t>9,011</w:t>
            </w:r>
          </w:p>
        </w:tc>
        <w:tc>
          <w:tcPr>
            <w:tcW w:type="dxa" w:w="2494"/>
            <w:shd w:val="clear" w:fill="F2F4F7"/>
          </w:tcPr>
          <w:p>
            <w:pPr>
              <w:spacing w:after="40" w:before="40"/>
              <w:jc w:val="right"/>
            </w:pPr>
            <w:r>
              <w:rPr>
                <w:b w:val="0"/>
                <w:sz w:val="19"/>
              </w:rPr>
              <w:t>12,557</w:t>
            </w:r>
          </w:p>
        </w:tc>
        <w:tc>
          <w:tcPr>
            <w:tcW w:type="dxa" w:w="1984"/>
            <w:shd w:val="clear" w:fill="F2F4F7"/>
          </w:tcPr>
          <w:p>
            <w:pPr>
              <w:spacing w:after="40" w:before="40"/>
              <w:jc w:val="right"/>
            </w:pPr>
            <w:r>
              <w:rPr>
                <w:b w:val="0"/>
                <w:sz w:val="19"/>
              </w:rPr>
              <w:t>−28.2 %</w:t>
            </w:r>
          </w:p>
        </w:tc>
      </w:tr>
      <w:tr>
        <w:tc>
          <w:tcPr>
            <w:tcW w:type="dxa" w:w="2494"/>
          </w:tcPr>
          <w:p>
            <w:pPr>
              <w:spacing w:after="40" w:before="40"/>
              <w:jc w:val="left"/>
            </w:pPr>
            <w:r>
              <w:rPr>
                <w:b w:val="0"/>
                <w:sz w:val="19"/>
              </w:rPr>
              <w:t>2024</w:t>
            </w:r>
          </w:p>
        </w:tc>
        <w:tc>
          <w:tcPr>
            <w:tcW w:type="dxa" w:w="2211"/>
          </w:tcPr>
          <w:p>
            <w:pPr>
              <w:spacing w:after="40" w:before="40"/>
              <w:jc w:val="right"/>
            </w:pPr>
            <w:r>
              <w:rPr>
                <w:b w:val="0"/>
                <w:sz w:val="19"/>
              </w:rPr>
              <w:t>10,049</w:t>
            </w:r>
          </w:p>
        </w:tc>
        <w:tc>
          <w:tcPr>
            <w:tcW w:type="dxa" w:w="2494"/>
          </w:tcPr>
          <w:p>
            <w:pPr>
              <w:spacing w:after="40" w:before="40"/>
              <w:jc w:val="right"/>
            </w:pPr>
            <w:r>
              <w:rPr>
                <w:b w:val="0"/>
                <w:sz w:val="19"/>
              </w:rPr>
              <w:t>13,323</w:t>
            </w:r>
          </w:p>
        </w:tc>
        <w:tc>
          <w:tcPr>
            <w:tcW w:type="dxa" w:w="1984"/>
          </w:tcPr>
          <w:p>
            <w:pPr>
              <w:spacing w:after="40" w:before="40"/>
              <w:jc w:val="right"/>
            </w:pPr>
            <w:r>
              <w:rPr>
                <w:b w:val="0"/>
                <w:sz w:val="19"/>
              </w:rPr>
              <w:t>−24.6 %</w:t>
            </w:r>
          </w:p>
        </w:tc>
      </w:tr>
      <w:tr>
        <w:tc>
          <w:tcPr>
            <w:tcW w:type="dxa" w:w="2494"/>
            <w:shd w:val="clear" w:fill="F2F4F7"/>
          </w:tcPr>
          <w:p>
            <w:pPr>
              <w:spacing w:after="40" w:before="40"/>
              <w:jc w:val="left"/>
            </w:pPr>
            <w:r>
              <w:rPr>
                <w:b w:val="0"/>
                <w:sz w:val="19"/>
              </w:rPr>
              <w:t>2025</w:t>
            </w:r>
          </w:p>
        </w:tc>
        <w:tc>
          <w:tcPr>
            <w:tcW w:type="dxa" w:w="2211"/>
            <w:shd w:val="clear" w:fill="F2F4F7"/>
          </w:tcPr>
          <w:p>
            <w:pPr>
              <w:spacing w:after="40" w:before="40"/>
              <w:jc w:val="right"/>
            </w:pPr>
            <w:r>
              <w:rPr>
                <w:b w:val="0"/>
                <w:sz w:val="19"/>
              </w:rPr>
              <w:t>10,336</w:t>
            </w:r>
          </w:p>
        </w:tc>
        <w:tc>
          <w:tcPr>
            <w:tcW w:type="dxa" w:w="2494"/>
            <w:shd w:val="clear" w:fill="F2F4F7"/>
          </w:tcPr>
          <w:p>
            <w:pPr>
              <w:spacing w:after="40" w:before="40"/>
              <w:jc w:val="right"/>
            </w:pPr>
            <w:r>
              <w:rPr>
                <w:b w:val="0"/>
                <w:sz w:val="19"/>
              </w:rPr>
              <w:t>13,881</w:t>
            </w:r>
          </w:p>
        </w:tc>
        <w:tc>
          <w:tcPr>
            <w:tcW w:type="dxa" w:w="1984"/>
            <w:shd w:val="clear" w:fill="F2F4F7"/>
          </w:tcPr>
          <w:p>
            <w:pPr>
              <w:spacing w:after="40" w:before="40"/>
              <w:jc w:val="right"/>
            </w:pPr>
            <w:r>
              <w:rPr>
                <w:b w:val="0"/>
                <w:sz w:val="19"/>
              </w:rPr>
              <w:t>−25.5 %</w:t>
            </w:r>
          </w:p>
        </w:tc>
      </w:tr>
      <w:tr>
        <w:tc>
          <w:tcPr>
            <w:tcW w:type="dxa" w:w="2494"/>
          </w:tcPr>
          <w:p>
            <w:pPr>
              <w:spacing w:after="40" w:before="40"/>
              <w:jc w:val="left"/>
            </w:pPr>
            <w:r>
              <w:rPr>
                <w:b w:val="0"/>
                <w:sz w:val="19"/>
              </w:rPr>
              <w:t>2026, at 30 June</w:t>
            </w:r>
          </w:p>
        </w:tc>
        <w:tc>
          <w:tcPr>
            <w:tcW w:type="dxa" w:w="2211"/>
          </w:tcPr>
          <w:p>
            <w:pPr>
              <w:spacing w:after="40" w:before="40"/>
              <w:jc w:val="right"/>
            </w:pPr>
            <w:r>
              <w:rPr>
                <w:b w:val="0"/>
                <w:sz w:val="19"/>
              </w:rPr>
              <w:t>10,760</w:t>
            </w:r>
          </w:p>
        </w:tc>
        <w:tc>
          <w:tcPr>
            <w:tcW w:type="dxa" w:w="2494"/>
          </w:tcPr>
          <w:p>
            <w:pPr>
              <w:spacing w:after="40" w:before="40"/>
              <w:jc w:val="right"/>
            </w:pPr>
            <w:r>
              <w:rPr>
                <w:b/>
                <w:sz w:val="19"/>
              </w:rPr>
              <w:t>14,019</w:t>
            </w:r>
          </w:p>
        </w:tc>
        <w:tc>
          <w:tcPr>
            <w:tcW w:type="dxa" w:w="1984"/>
          </w:tcPr>
          <w:p>
            <w:pPr>
              <w:spacing w:after="40" w:before="40"/>
              <w:jc w:val="right"/>
            </w:pPr>
            <w:r>
              <w:rPr>
                <w:b/>
                <w:sz w:val="19"/>
              </w:rPr>
              <w:t>−23.2 %</w:t>
            </w:r>
          </w:p>
        </w:tc>
      </w:tr>
    </w:tbl>
    <w:p>
      <w:pPr>
        <w:spacing w:after="80" w:before="0"/>
      </w:pPr>
    </w:p>
    <w:p>
      <w:pPr>
        <w:spacing w:after="140" w:before="0"/>
      </w:pPr>
      <w:r>
        <w:rPr>
          <w:b w:val="0"/>
          <w:i w:val="0"/>
          <w:color w:val="1A1A1A"/>
          <w:sz w:val="21"/>
        </w:rPr>
        <w:t>The shortfall is roughly 3,300 to 3,700 vehicles and it barely moves across seven years. A gap that stable means we are missing a block of vehicles, not that our scrappage rate is slightly off.</w:t>
      </w:r>
    </w:p>
    <w:tbl>
      <w:tblPr>
        <w:tblStyle w:val="TableGrid"/>
        <w:tblW w:type="auto" w:w="0"/>
        <w:jc w:val="left"/>
        <w:tblLayout w:type="fixed"/>
        <w:tblLook w:firstColumn="1" w:firstRow="1" w:lastColumn="0" w:lastRow="0" w:noHBand="0" w:noVBand="1" w:val="04A0"/>
      </w:tblPr>
      <w:tblGrid>
        <w:gridCol w:w="2296"/>
        <w:gridCol w:w="2296"/>
        <w:gridCol w:w="2296"/>
        <w:gridCol w:w="2296"/>
      </w:tblGrid>
      <w:tr>
        <w:tc>
          <w:tcPr>
            <w:tcW w:type="dxa" w:w="3061"/>
            <w:shd w:val="clear" w:fill="1F3552"/>
          </w:tcPr>
          <w:p>
            <w:pPr>
              <w:spacing w:after="40" w:before="40"/>
              <w:jc w:val="left"/>
            </w:pPr>
            <w:r>
              <w:rPr>
                <w:b/>
                <w:color w:val="FFFFFF"/>
                <w:sz w:val="18"/>
              </w:rPr>
              <w:t>Weight class, at 30 June 2026</w:t>
            </w:r>
          </w:p>
        </w:tc>
        <w:tc>
          <w:tcPr>
            <w:tcW w:type="dxa" w:w="1814"/>
            <w:shd w:val="clear" w:fill="1F3552"/>
          </w:tcPr>
          <w:p>
            <w:pPr>
              <w:spacing w:after="40" w:before="40"/>
              <w:jc w:val="right"/>
            </w:pPr>
            <w:r>
              <w:rPr>
                <w:b/>
                <w:color w:val="FFFFFF"/>
                <w:sz w:val="18"/>
              </w:rPr>
              <w:t>Isuzu fleet</w:t>
            </w:r>
          </w:p>
        </w:tc>
        <w:tc>
          <w:tcPr>
            <w:tcW w:type="dxa" w:w="2154"/>
            <w:shd w:val="clear" w:fill="1F3552"/>
          </w:tcPr>
          <w:p>
            <w:pPr>
              <w:spacing w:after="40" w:before="40"/>
              <w:jc w:val="right"/>
            </w:pPr>
            <w:r>
              <w:rPr>
                <w:b/>
                <w:color w:val="FFFFFF"/>
                <w:sz w:val="18"/>
              </w:rPr>
              <w:t>Isuzu average age</w:t>
            </w:r>
          </w:p>
        </w:tc>
        <w:tc>
          <w:tcPr>
            <w:tcW w:type="dxa" w:w="2154"/>
            <w:shd w:val="clear" w:fill="1F3552"/>
          </w:tcPr>
          <w:p>
            <w:pPr>
              <w:spacing w:after="40" w:before="40"/>
              <w:jc w:val="right"/>
            </w:pPr>
            <w:r>
              <w:rPr>
                <w:b/>
                <w:color w:val="FFFFFF"/>
                <w:sz w:val="18"/>
              </w:rPr>
              <w:t>Market average age</w:t>
            </w:r>
          </w:p>
        </w:tc>
      </w:tr>
      <w:tr>
        <w:tc>
          <w:tcPr>
            <w:tcW w:type="dxa" w:w="3061"/>
          </w:tcPr>
          <w:p>
            <w:pPr>
              <w:spacing w:after="40" w:before="40"/>
              <w:jc w:val="left"/>
            </w:pPr>
            <w:r>
              <w:rPr>
                <w:b w:val="0"/>
                <w:sz w:val="19"/>
              </w:rPr>
              <w:t>6.5 – 7.5 t</w:t>
            </w:r>
          </w:p>
        </w:tc>
        <w:tc>
          <w:tcPr>
            <w:tcW w:type="dxa" w:w="1814"/>
          </w:tcPr>
          <w:p>
            <w:pPr>
              <w:spacing w:after="40" w:before="40"/>
              <w:jc w:val="right"/>
            </w:pPr>
            <w:r>
              <w:rPr>
                <w:b w:val="0"/>
                <w:sz w:val="19"/>
              </w:rPr>
              <w:t>8,610</w:t>
            </w:r>
          </w:p>
        </w:tc>
        <w:tc>
          <w:tcPr>
            <w:tcW w:type="dxa" w:w="2154"/>
          </w:tcPr>
          <w:p>
            <w:pPr>
              <w:spacing w:after="40" w:before="40"/>
              <w:jc w:val="right"/>
            </w:pPr>
            <w:r>
              <w:rPr>
                <w:b w:val="0"/>
                <w:sz w:val="19"/>
              </w:rPr>
              <w:t>9.4 years</w:t>
            </w:r>
          </w:p>
        </w:tc>
        <w:tc>
          <w:tcPr>
            <w:tcW w:type="dxa" w:w="2154"/>
          </w:tcPr>
          <w:p>
            <w:pPr>
              <w:spacing w:after="40" w:before="40"/>
              <w:jc w:val="right"/>
            </w:pPr>
            <w:r>
              <w:rPr>
                <w:b w:val="0"/>
                <w:sz w:val="19"/>
              </w:rPr>
              <w:t>9.8 years</w:t>
            </w:r>
          </w:p>
        </w:tc>
      </w:tr>
      <w:tr>
        <w:tc>
          <w:tcPr>
            <w:tcW w:type="dxa" w:w="3061"/>
            <w:shd w:val="clear" w:fill="F2F4F7"/>
          </w:tcPr>
          <w:p>
            <w:pPr>
              <w:spacing w:after="40" w:before="40"/>
              <w:jc w:val="left"/>
            </w:pPr>
            <w:r>
              <w:rPr>
                <w:b w:val="0"/>
                <w:sz w:val="19"/>
              </w:rPr>
              <w:t>7.6 – 10 t</w:t>
            </w:r>
          </w:p>
        </w:tc>
        <w:tc>
          <w:tcPr>
            <w:tcW w:type="dxa" w:w="1814"/>
            <w:shd w:val="clear" w:fill="F2F4F7"/>
          </w:tcPr>
          <w:p>
            <w:pPr>
              <w:spacing w:after="40" w:before="40"/>
              <w:jc w:val="right"/>
            </w:pPr>
            <w:r>
              <w:rPr>
                <w:b w:val="0"/>
                <w:sz w:val="19"/>
              </w:rPr>
              <w:t>2,485</w:t>
            </w:r>
          </w:p>
        </w:tc>
        <w:tc>
          <w:tcPr>
            <w:tcW w:type="dxa" w:w="2154"/>
            <w:shd w:val="clear" w:fill="F2F4F7"/>
          </w:tcPr>
          <w:p>
            <w:pPr>
              <w:spacing w:after="40" w:before="40"/>
              <w:jc w:val="right"/>
            </w:pPr>
            <w:r>
              <w:rPr>
                <w:b w:val="0"/>
                <w:sz w:val="19"/>
              </w:rPr>
              <w:t>6.2 years</w:t>
            </w:r>
          </w:p>
        </w:tc>
        <w:tc>
          <w:tcPr>
            <w:tcW w:type="dxa" w:w="2154"/>
            <w:shd w:val="clear" w:fill="F2F4F7"/>
          </w:tcPr>
          <w:p>
            <w:pPr>
              <w:spacing w:after="40" w:before="40"/>
              <w:jc w:val="right"/>
            </w:pPr>
            <w:r>
              <w:rPr>
                <w:b w:val="0"/>
                <w:sz w:val="19"/>
              </w:rPr>
              <w:t>10.7 years</w:t>
            </w:r>
          </w:p>
        </w:tc>
      </w:tr>
      <w:tr>
        <w:tc>
          <w:tcPr>
            <w:tcW w:type="dxa" w:w="3061"/>
          </w:tcPr>
          <w:p>
            <w:pPr>
              <w:spacing w:after="40" w:before="40"/>
              <w:jc w:val="left"/>
            </w:pPr>
            <w:r>
              <w:rPr>
                <w:b w:val="0"/>
                <w:sz w:val="19"/>
              </w:rPr>
              <w:t>10.1 – 12 t</w:t>
            </w:r>
          </w:p>
        </w:tc>
        <w:tc>
          <w:tcPr>
            <w:tcW w:type="dxa" w:w="1814"/>
          </w:tcPr>
          <w:p>
            <w:pPr>
              <w:spacing w:after="40" w:before="40"/>
              <w:jc w:val="right"/>
            </w:pPr>
            <w:r>
              <w:rPr>
                <w:b w:val="0"/>
                <w:sz w:val="19"/>
              </w:rPr>
              <w:t>2,697</w:t>
            </w:r>
          </w:p>
        </w:tc>
        <w:tc>
          <w:tcPr>
            <w:tcW w:type="dxa" w:w="2154"/>
          </w:tcPr>
          <w:p>
            <w:pPr>
              <w:spacing w:after="40" w:before="40"/>
              <w:jc w:val="right"/>
            </w:pPr>
            <w:r>
              <w:rPr>
                <w:b w:val="0"/>
                <w:sz w:val="19"/>
              </w:rPr>
              <w:t>5.9 years</w:t>
            </w:r>
          </w:p>
        </w:tc>
        <w:tc>
          <w:tcPr>
            <w:tcW w:type="dxa" w:w="2154"/>
          </w:tcPr>
          <w:p>
            <w:pPr>
              <w:spacing w:after="40" w:before="40"/>
              <w:jc w:val="right"/>
            </w:pPr>
            <w:r>
              <w:rPr>
                <w:b w:val="0"/>
                <w:sz w:val="19"/>
              </w:rPr>
              <w:t>7.3 years</w:t>
            </w:r>
          </w:p>
        </w:tc>
      </w:tr>
      <w:tr>
        <w:tc>
          <w:tcPr>
            <w:tcW w:type="dxa" w:w="3061"/>
            <w:shd w:val="clear" w:fill="F2F4F7"/>
          </w:tcPr>
          <w:p>
            <w:pPr>
              <w:spacing w:after="40" w:before="40"/>
              <w:jc w:val="left"/>
            </w:pPr>
            <w:r>
              <w:rPr>
                <w:b w:val="0"/>
                <w:sz w:val="19"/>
              </w:rPr>
              <w:t>12.1 – 16 t</w:t>
            </w:r>
          </w:p>
        </w:tc>
        <w:tc>
          <w:tcPr>
            <w:tcW w:type="dxa" w:w="1814"/>
            <w:shd w:val="clear" w:fill="F2F4F7"/>
          </w:tcPr>
          <w:p>
            <w:pPr>
              <w:spacing w:after="40" w:before="40"/>
              <w:jc w:val="right"/>
            </w:pPr>
            <w:r>
              <w:rPr>
                <w:b w:val="0"/>
                <w:sz w:val="19"/>
              </w:rPr>
              <w:t>227</w:t>
            </w:r>
          </w:p>
        </w:tc>
        <w:tc>
          <w:tcPr>
            <w:tcW w:type="dxa" w:w="2154"/>
            <w:shd w:val="clear" w:fill="F2F4F7"/>
          </w:tcPr>
          <w:p>
            <w:pPr>
              <w:spacing w:after="40" w:before="40"/>
              <w:jc w:val="right"/>
            </w:pPr>
            <w:r>
              <w:rPr>
                <w:b w:val="0"/>
                <w:sz w:val="19"/>
              </w:rPr>
              <w:t>5.6 years</w:t>
            </w:r>
          </w:p>
        </w:tc>
        <w:tc>
          <w:tcPr>
            <w:tcW w:type="dxa" w:w="2154"/>
            <w:shd w:val="clear" w:fill="F2F4F7"/>
          </w:tcPr>
          <w:p>
            <w:pPr>
              <w:spacing w:after="40" w:before="40"/>
              <w:jc w:val="right"/>
            </w:pPr>
            <w:r>
              <w:rPr>
                <w:b w:val="0"/>
                <w:sz w:val="19"/>
              </w:rPr>
              <w:t>9.1 years</w:t>
            </w:r>
          </w:p>
        </w:tc>
      </w:tr>
    </w:tbl>
    <w:p>
      <w:pPr>
        <w:spacing w:after="200" w:before="60"/>
      </w:pPr>
      <w:r>
        <w:rPr>
          <w:b w:val="0"/>
          <w:i/>
          <w:color w:val="595959"/>
          <w:sz w:val="17"/>
        </w:rPr>
        <w:t>The four classes sum to exactly 14,019, so the source is internally consistent. Our light row shows 6,101 against 8,610 actual, 29 % low. Our medium row shows 4,659 against 5,409, 14 % low.</w:t>
      </w:r>
    </w:p>
    <w:p>
      <w:pPr>
        <w:pStyle w:val="Heading2"/>
      </w:pPr>
      <w:r>
        <w:t>Three candidate explanations — we cannot yet separate them</w:t>
      </w:r>
    </w:p>
    <w:p>
      <w:pPr>
        <w:pStyle w:val="ListBullet"/>
        <w:spacing w:after="80"/>
        <w:ind w:left="340"/>
      </w:pPr>
      <w:r>
        <w:rPr>
          <w:b/>
          <w:sz w:val="21"/>
        </w:rPr>
        <w:t xml:space="preserve">Weight classes we never mapped. </w:t>
      </w:r>
      <w:r>
        <w:rPr>
          <w:sz w:val="21"/>
        </w:rPr>
        <w:t>Our Israel structure covers nominal classes of 6.5, 7.5, 10, 11 and 12 tonnes only. The 7.6 to 10 tonne class, 2,485 vehicles, has no home in our model at all, and the 12.1 to 16 tonne class sits above everything we map. This alone could account for most of a stable gap.</w:t>
      </w:r>
    </w:p>
    <w:p>
      <w:pPr>
        <w:pStyle w:val="ListBullet"/>
        <w:spacing w:after="80"/>
        <w:ind w:left="340"/>
      </w:pPr>
      <w:r>
        <w:rPr>
          <w:b/>
          <w:sz w:val="21"/>
        </w:rPr>
        <w:t xml:space="preserve">We scrap vehicles that are still working. </w:t>
      </w:r>
      <w:r>
        <w:rPr>
          <w:sz w:val="21"/>
        </w:rPr>
        <w:t>The government data shows 1,680 vehicles first registered between 1999 and 2010 that remain on the road — 12 % of the entire fleet, aged between 16 and 27 years. Our Israel survival curve is down to 5 % at year 19 and zero at year 20. We are retiring vehicles the government says are registered. We solved exactly this problem for the United Kingdom in 2026 with an owner-operator floor; Israel never received one.</w:t>
      </w:r>
    </w:p>
    <w:p>
      <w:pPr>
        <w:pStyle w:val="ListBullet"/>
        <w:spacing w:after="80"/>
        <w:ind w:left="340"/>
      </w:pPr>
      <w:r>
        <w:rPr>
          <w:b/>
          <w:sz w:val="21"/>
        </w:rPr>
        <w:t xml:space="preserve">Different populations. </w:t>
      </w:r>
      <w:r>
        <w:rPr>
          <w:sz w:val="21"/>
        </w:rPr>
        <w:t>The government counts every registered Isuzu truck regardless of who imported it. We build our figure from UTI's own records. Parallel imports, or vehicles from a previous importer, would produce precisely this kind of fixed offset.</w:t>
      </w:r>
    </w:p>
    <w:p>
      <w:pPr>
        <w:spacing w:after="140"/>
      </w:pPr>
      <w:r>
        <w:rPr>
          <w:b/>
          <w:color w:val="1A1A1A"/>
          <w:sz w:val="21"/>
        </w:rPr>
        <w:t xml:space="preserve">The fix: </w:t>
      </w:r>
      <w:r>
        <w:rPr>
          <w:b w:val="0"/>
          <w:color w:val="1A1A1A"/>
          <w:sz w:val="21"/>
        </w:rPr>
        <w:t>rebuild Israel on the government data as primary source, exactly as we did for Ireland. Add the two missing weight classes. Then introduce an age floor for vehicles over fifteen years once we can see how large the old tail really is. We will not simply scale the Israel rows up by 25 % — that would leave the same defect in place for next year.</w:t>
      </w:r>
    </w:p>
    <w:p>
      <w:pPr>
        <w:pStyle w:val="Heading1"/>
      </w:pPr>
      <w:r>
        <w:t>7.  Issue five — four markets have no real fleet history</w:t>
      </w:r>
    </w:p>
    <w:p>
      <w:pPr>
        <w:spacing w:after="140" w:before="0"/>
      </w:pPr>
      <w:r>
        <w:rPr>
          <w:b w:val="0"/>
          <w:i w:val="0"/>
          <w:color w:val="1A1A1A"/>
          <w:sz w:val="21"/>
        </w:rPr>
        <w:t>Belgium, Cyprus, Malta and Greece are built from the IML backbone and an older scrap-adjusted car park rather than from registration data. Measured against actual shipments, these four markets appear to scrap between 0.3 % and 3 % of their fleet each year, which is not physically plausible for commercial vehicles. Ireland and Portugal, which do use registration data, measure between 7 % and 13 %.</w:t>
      </w:r>
    </w:p>
    <w:p>
      <w:pPr>
        <w:spacing w:after="140" w:before="0"/>
      </w:pPr>
      <w:r>
        <w:rPr>
          <w:b w:val="0"/>
          <w:i w:val="0"/>
          <w:color w:val="1A1A1A"/>
          <w:sz w:val="21"/>
        </w:rPr>
        <w:t>This was invisible before we obtained vehicle-level shipment records. These four markets should be marked low confidence and queued for a registration-based rebuild.</w:t>
      </w:r>
    </w:p>
    <w:p>
      <w:pPr>
        <w:pStyle w:val="Heading1"/>
      </w:pPr>
      <w:r>
        <w:t>8.  Issue six — every 3.5 tonne truck carries the parts wallet of a 7.5 tonne truck</w:t>
      </w:r>
    </w:p>
    <w:p>
      <w:pPr>
        <w:spacing w:after="140" w:before="0"/>
      </w:pPr>
      <w:r>
        <w:rPr>
          <w:b w:val="0"/>
          <w:i w:val="0"/>
          <w:color w:val="1A1A1A"/>
          <w:sz w:val="21"/>
        </w:rPr>
        <w:t>This one concerns the parts share metric rather than the fleet, but it has the same root cause: we do not distinguish vehicle sizes properly.</w:t>
      </w:r>
    </w:p>
    <w:p>
      <w:pPr>
        <w:spacing w:after="140" w:before="0"/>
      </w:pPr>
      <w:r>
        <w:rPr>
          <w:b w:val="0"/>
          <w:i w:val="0"/>
          <w:color w:val="1A1A1A"/>
          <w:sz w:val="21"/>
        </w:rPr>
        <w:t>The number in an Isuzu model code is a chassis generation code, not a weight. Our own records prove it — the NLR appears as NLR85, NLR87 and NLR88, and the NPR appears as both NPR75 and NPR85. A single vehicle class cannot have three different weights. Our shipment register nonetheless reads those codes as tonnages.</w:t>
      </w:r>
    </w:p>
    <w:tbl>
      <w:tblPr>
        <w:tblStyle w:val="TableGrid"/>
        <w:tblW w:type="auto" w:w="0"/>
        <w:jc w:val="left"/>
        <w:tblLayout w:type="fixed"/>
        <w:tblLook w:firstColumn="1" w:firstRow="1" w:lastColumn="0" w:lastRow="0" w:noHBand="0" w:noVBand="1" w:val="04A0"/>
      </w:tblPr>
      <w:tblGrid>
        <w:gridCol w:w="2296"/>
        <w:gridCol w:w="2296"/>
        <w:gridCol w:w="2296"/>
        <w:gridCol w:w="2296"/>
      </w:tblGrid>
      <w:tr>
        <w:tc>
          <w:tcPr>
            <w:tcW w:type="dxa" w:w="1247"/>
            <w:shd w:val="clear" w:fill="1F3552"/>
          </w:tcPr>
          <w:p>
            <w:pPr>
              <w:spacing w:after="40" w:before="40"/>
              <w:jc w:val="left"/>
            </w:pPr>
            <w:r>
              <w:rPr>
                <w:b/>
                <w:color w:val="FFFFFF"/>
                <w:sz w:val="18"/>
              </w:rPr>
              <w:t>Code</w:t>
            </w:r>
          </w:p>
        </w:tc>
        <w:tc>
          <w:tcPr>
            <w:tcW w:type="dxa" w:w="1928"/>
            <w:shd w:val="clear" w:fill="1F3552"/>
          </w:tcPr>
          <w:p>
            <w:pPr>
              <w:spacing w:after="40" w:before="40"/>
              <w:jc w:val="left"/>
            </w:pPr>
            <w:r>
              <w:rPr>
                <w:b/>
                <w:color w:val="FFFFFF"/>
                <w:sz w:val="18"/>
              </w:rPr>
              <w:t>European name</w:t>
            </w:r>
          </w:p>
        </w:tc>
        <w:tc>
          <w:tcPr>
            <w:tcW w:type="dxa" w:w="1587"/>
            <w:shd w:val="clear" w:fill="1F3552"/>
          </w:tcPr>
          <w:p>
            <w:pPr>
              <w:spacing w:after="40" w:before="40"/>
              <w:jc w:val="right"/>
            </w:pPr>
            <w:r>
              <w:rPr>
                <w:b/>
                <w:color w:val="FFFFFF"/>
                <w:sz w:val="18"/>
              </w:rPr>
              <w:t>Actual weight</w:t>
            </w:r>
          </w:p>
        </w:tc>
        <w:tc>
          <w:tcPr>
            <w:tcW w:type="dxa" w:w="4422"/>
            <w:shd w:val="clear" w:fill="1F3552"/>
          </w:tcPr>
          <w:p>
            <w:pPr>
              <w:spacing w:after="40" w:before="40"/>
              <w:jc w:val="left"/>
            </w:pPr>
            <w:r>
              <w:rPr>
                <w:b/>
                <w:color w:val="FFFFFF"/>
                <w:sz w:val="18"/>
              </w:rPr>
              <w:t>What we currently record</w:t>
            </w:r>
          </w:p>
        </w:tc>
      </w:tr>
      <w:tr>
        <w:tc>
          <w:tcPr>
            <w:tcW w:type="dxa" w:w="1247"/>
          </w:tcPr>
          <w:p>
            <w:pPr>
              <w:spacing w:after="40" w:before="40"/>
              <w:jc w:val="left"/>
            </w:pPr>
            <w:r>
              <w:rPr>
                <w:b w:val="0"/>
                <w:sz w:val="19"/>
              </w:rPr>
              <w:t>NLR</w:t>
            </w:r>
          </w:p>
        </w:tc>
        <w:tc>
          <w:tcPr>
            <w:tcW w:type="dxa" w:w="1928"/>
          </w:tcPr>
          <w:p>
            <w:pPr>
              <w:spacing w:after="40" w:before="40"/>
              <w:jc w:val="left"/>
            </w:pPr>
            <w:r>
              <w:rPr>
                <w:b w:val="0"/>
                <w:sz w:val="19"/>
              </w:rPr>
              <w:t>N35</w:t>
            </w:r>
          </w:p>
        </w:tc>
        <w:tc>
          <w:tcPr>
            <w:tcW w:type="dxa" w:w="1587"/>
          </w:tcPr>
          <w:p>
            <w:pPr>
              <w:spacing w:after="40" w:before="40"/>
              <w:jc w:val="right"/>
            </w:pPr>
            <w:r>
              <w:rPr>
                <w:b/>
                <w:sz w:val="19"/>
              </w:rPr>
              <w:t>3.5 t</w:t>
            </w:r>
          </w:p>
        </w:tc>
        <w:tc>
          <w:tcPr>
            <w:tcW w:type="dxa" w:w="4422"/>
          </w:tcPr>
          <w:p>
            <w:pPr>
              <w:spacing w:after="40" w:before="40"/>
              <w:jc w:val="left"/>
            </w:pPr>
            <w:r>
              <w:rPr>
                <w:b/>
                <w:sz w:val="19"/>
              </w:rPr>
              <w:t>8.5 / 8.7 / 8.8 t — 150 % too heavy</w:t>
            </w:r>
          </w:p>
        </w:tc>
      </w:tr>
      <w:tr>
        <w:tc>
          <w:tcPr>
            <w:tcW w:type="dxa" w:w="1247"/>
            <w:shd w:val="clear" w:fill="F2F4F7"/>
          </w:tcPr>
          <w:p>
            <w:pPr>
              <w:spacing w:after="40" w:before="40"/>
              <w:jc w:val="left"/>
            </w:pPr>
            <w:r>
              <w:rPr>
                <w:b w:val="0"/>
                <w:sz w:val="19"/>
              </w:rPr>
              <w:t>NMR</w:t>
            </w:r>
          </w:p>
        </w:tc>
        <w:tc>
          <w:tcPr>
            <w:tcW w:type="dxa" w:w="1928"/>
            <w:shd w:val="clear" w:fill="F2F4F7"/>
          </w:tcPr>
          <w:p>
            <w:pPr>
              <w:spacing w:after="40" w:before="40"/>
              <w:jc w:val="left"/>
            </w:pPr>
            <w:r>
              <w:rPr>
                <w:b w:val="0"/>
                <w:sz w:val="19"/>
              </w:rPr>
              <w:t>N50 / N55</w:t>
            </w:r>
          </w:p>
        </w:tc>
        <w:tc>
          <w:tcPr>
            <w:tcW w:type="dxa" w:w="1587"/>
            <w:shd w:val="clear" w:fill="F2F4F7"/>
          </w:tcPr>
          <w:p>
            <w:pPr>
              <w:spacing w:after="40" w:before="40"/>
              <w:jc w:val="right"/>
            </w:pPr>
            <w:r>
              <w:rPr>
                <w:b w:val="0"/>
                <w:sz w:val="19"/>
              </w:rPr>
              <w:t>5.5 t</w:t>
            </w:r>
          </w:p>
        </w:tc>
        <w:tc>
          <w:tcPr>
            <w:tcW w:type="dxa" w:w="4422"/>
            <w:shd w:val="clear" w:fill="F2F4F7"/>
          </w:tcPr>
          <w:p>
            <w:pPr>
              <w:spacing w:after="40" w:before="40"/>
              <w:jc w:val="left"/>
            </w:pPr>
            <w:r>
              <w:rPr>
                <w:b w:val="0"/>
                <w:sz w:val="19"/>
              </w:rPr>
              <w:t>8.5 / 8.8 t — 55 % too heavy</w:t>
            </w:r>
          </w:p>
        </w:tc>
      </w:tr>
      <w:tr>
        <w:tc>
          <w:tcPr>
            <w:tcW w:type="dxa" w:w="1247"/>
          </w:tcPr>
          <w:p>
            <w:pPr>
              <w:spacing w:after="40" w:before="40"/>
              <w:jc w:val="left"/>
            </w:pPr>
            <w:r>
              <w:rPr>
                <w:b w:val="0"/>
                <w:sz w:val="19"/>
              </w:rPr>
              <w:t>NNR</w:t>
            </w:r>
          </w:p>
        </w:tc>
        <w:tc>
          <w:tcPr>
            <w:tcW w:type="dxa" w:w="1928"/>
          </w:tcPr>
          <w:p>
            <w:pPr>
              <w:spacing w:after="40" w:before="40"/>
              <w:jc w:val="left"/>
            </w:pPr>
            <w:r>
              <w:rPr>
                <w:b w:val="0"/>
                <w:sz w:val="19"/>
              </w:rPr>
              <w:t>N62 / N65</w:t>
            </w:r>
          </w:p>
        </w:tc>
        <w:tc>
          <w:tcPr>
            <w:tcW w:type="dxa" w:w="1587"/>
          </w:tcPr>
          <w:p>
            <w:pPr>
              <w:spacing w:after="40" w:before="40"/>
              <w:jc w:val="right"/>
            </w:pPr>
            <w:r>
              <w:rPr>
                <w:b w:val="0"/>
                <w:sz w:val="19"/>
              </w:rPr>
              <w:t>6.5 t</w:t>
            </w:r>
          </w:p>
        </w:tc>
        <w:tc>
          <w:tcPr>
            <w:tcW w:type="dxa" w:w="4422"/>
          </w:tcPr>
          <w:p>
            <w:pPr>
              <w:spacing w:after="40" w:before="40"/>
              <w:jc w:val="left"/>
            </w:pPr>
            <w:r>
              <w:rPr>
                <w:b w:val="0"/>
                <w:sz w:val="19"/>
              </w:rPr>
              <w:t>8.5 / 8.8 t — 31 % too heavy</w:t>
            </w:r>
          </w:p>
        </w:tc>
      </w:tr>
      <w:tr>
        <w:tc>
          <w:tcPr>
            <w:tcW w:type="dxa" w:w="1247"/>
            <w:shd w:val="clear" w:fill="F2F4F7"/>
          </w:tcPr>
          <w:p>
            <w:pPr>
              <w:spacing w:after="40" w:before="40"/>
              <w:jc w:val="left"/>
            </w:pPr>
            <w:r>
              <w:rPr>
                <w:b w:val="0"/>
                <w:sz w:val="19"/>
              </w:rPr>
              <w:t>NPR</w:t>
            </w:r>
          </w:p>
        </w:tc>
        <w:tc>
          <w:tcPr>
            <w:tcW w:type="dxa" w:w="1928"/>
            <w:shd w:val="clear" w:fill="F2F4F7"/>
          </w:tcPr>
          <w:p>
            <w:pPr>
              <w:spacing w:after="40" w:before="40"/>
              <w:jc w:val="left"/>
            </w:pPr>
            <w:r>
              <w:rPr>
                <w:b w:val="0"/>
                <w:sz w:val="19"/>
              </w:rPr>
              <w:t>N75</w:t>
            </w:r>
          </w:p>
        </w:tc>
        <w:tc>
          <w:tcPr>
            <w:tcW w:type="dxa" w:w="1587"/>
            <w:shd w:val="clear" w:fill="F2F4F7"/>
          </w:tcPr>
          <w:p>
            <w:pPr>
              <w:spacing w:after="40" w:before="40"/>
              <w:jc w:val="right"/>
            </w:pPr>
            <w:r>
              <w:rPr>
                <w:b w:val="0"/>
                <w:sz w:val="19"/>
              </w:rPr>
              <w:t>7.5 t</w:t>
            </w:r>
          </w:p>
        </w:tc>
        <w:tc>
          <w:tcPr>
            <w:tcW w:type="dxa" w:w="4422"/>
            <w:shd w:val="clear" w:fill="F2F4F7"/>
          </w:tcPr>
          <w:p>
            <w:pPr>
              <w:spacing w:after="40" w:before="40"/>
              <w:jc w:val="left"/>
            </w:pPr>
            <w:r>
              <w:rPr>
                <w:b w:val="0"/>
                <w:sz w:val="19"/>
              </w:rPr>
              <w:t>7.5 t correct, or 8.5 t</w:t>
            </w:r>
          </w:p>
        </w:tc>
      </w:tr>
      <w:tr>
        <w:tc>
          <w:tcPr>
            <w:tcW w:type="dxa" w:w="1247"/>
          </w:tcPr>
          <w:p>
            <w:pPr>
              <w:spacing w:after="40" w:before="40"/>
              <w:jc w:val="left"/>
            </w:pPr>
            <w:r>
              <w:rPr>
                <w:b w:val="0"/>
                <w:sz w:val="19"/>
              </w:rPr>
              <w:t>FRR</w:t>
            </w:r>
          </w:p>
        </w:tc>
        <w:tc>
          <w:tcPr>
            <w:tcW w:type="dxa" w:w="1928"/>
          </w:tcPr>
          <w:p>
            <w:pPr>
              <w:spacing w:after="40" w:before="40"/>
              <w:jc w:val="left"/>
            </w:pPr>
            <w:r>
              <w:rPr>
                <w:b w:val="0"/>
                <w:sz w:val="19"/>
              </w:rPr>
              <w:t>F110 / F120</w:t>
            </w:r>
          </w:p>
        </w:tc>
        <w:tc>
          <w:tcPr>
            <w:tcW w:type="dxa" w:w="1587"/>
          </w:tcPr>
          <w:p>
            <w:pPr>
              <w:spacing w:after="40" w:before="40"/>
              <w:jc w:val="right"/>
            </w:pPr>
            <w:r>
              <w:rPr>
                <w:b w:val="0"/>
                <w:sz w:val="19"/>
              </w:rPr>
              <w:t>11 – 12 t</w:t>
            </w:r>
          </w:p>
        </w:tc>
        <w:tc>
          <w:tcPr>
            <w:tcW w:type="dxa" w:w="4422"/>
          </w:tcPr>
          <w:p>
            <w:pPr>
              <w:spacing w:after="40" w:before="40"/>
              <w:jc w:val="left"/>
            </w:pPr>
            <w:r>
              <w:rPr>
                <w:b/>
                <w:sz w:val="19"/>
              </w:rPr>
              <w:t>9.0 t — 22 % too light</w:t>
            </w:r>
          </w:p>
        </w:tc>
      </w:tr>
      <w:tr>
        <w:tc>
          <w:tcPr>
            <w:tcW w:type="dxa" w:w="1247"/>
            <w:shd w:val="clear" w:fill="F2F4F7"/>
          </w:tcPr>
          <w:p>
            <w:pPr>
              <w:spacing w:after="40" w:before="40"/>
              <w:jc w:val="left"/>
            </w:pPr>
            <w:r>
              <w:rPr>
                <w:b w:val="0"/>
                <w:sz w:val="19"/>
              </w:rPr>
              <w:t>FSR</w:t>
            </w:r>
          </w:p>
        </w:tc>
        <w:tc>
          <w:tcPr>
            <w:tcW w:type="dxa" w:w="1928"/>
            <w:shd w:val="clear" w:fill="F2F4F7"/>
          </w:tcPr>
          <w:p>
            <w:pPr>
              <w:spacing w:after="40" w:before="40"/>
              <w:jc w:val="left"/>
            </w:pPr>
            <w:r>
              <w:rPr>
                <w:b w:val="0"/>
                <w:sz w:val="19"/>
              </w:rPr>
              <w:t>F135</w:t>
            </w:r>
          </w:p>
        </w:tc>
        <w:tc>
          <w:tcPr>
            <w:tcW w:type="dxa" w:w="1587"/>
            <w:shd w:val="clear" w:fill="F2F4F7"/>
          </w:tcPr>
          <w:p>
            <w:pPr>
              <w:spacing w:after="40" w:before="40"/>
              <w:jc w:val="right"/>
            </w:pPr>
            <w:r>
              <w:rPr>
                <w:b w:val="0"/>
                <w:sz w:val="19"/>
              </w:rPr>
              <w:t>13.5 t</w:t>
            </w:r>
          </w:p>
        </w:tc>
        <w:tc>
          <w:tcPr>
            <w:tcW w:type="dxa" w:w="4422"/>
            <w:shd w:val="clear" w:fill="F2F4F7"/>
          </w:tcPr>
          <w:p>
            <w:pPr>
              <w:spacing w:after="40" w:before="40"/>
              <w:jc w:val="left"/>
            </w:pPr>
            <w:r>
              <w:rPr>
                <w:b/>
                <w:sz w:val="19"/>
              </w:rPr>
              <w:t>9.0 t — 33 % too light</w:t>
            </w:r>
          </w:p>
        </w:tc>
      </w:tr>
    </w:tbl>
    <w:p>
      <w:pPr>
        <w:spacing w:after="200" w:before="60"/>
      </w:pPr>
      <w:r>
        <w:rPr>
          <w:b w:val="0"/>
          <w:i/>
          <w:color w:val="595959"/>
          <w:sz w:val="17"/>
        </w:rPr>
        <w:t>Verified against Isuzu Ireland's published range of 3.5, 7.5 and 11 tonnes, and against the P700 launch classes of 3.5, 6.5, 7.5 and 13.5 tonnes. Across 3,238 vehicles this makes the fleet appear to weigh 26,689 tonnes when it actually weighs 19,687.</w:t>
      </w:r>
    </w:p>
    <w:p>
      <w:pPr>
        <w:pStyle w:val="Heading2"/>
      </w:pPr>
      <w:r>
        <w:t>Why this matters commercially</w:t>
      </w:r>
    </w:p>
    <w:p>
      <w:pPr>
        <w:spacing w:after="140" w:before="0"/>
      </w:pPr>
      <w:r>
        <w:rPr>
          <w:b w:val="0"/>
          <w:i w:val="0"/>
          <w:color w:val="1A1A1A"/>
          <w:sz w:val="21"/>
        </w:rPr>
        <w:t>Our parts share metric divides actual parts sales by a target wallet, and that target wallet uses a maximum spend per vehicle that depends on the model group. Those rates come from the ITUK Parts Sales Target Study of April 2026: £400 per year for an N35, £1,000 for an N75, £1,200 for an F-Series, which convert to €296, €739 and €887 net of gross profit.</w:t>
      </w:r>
    </w:p>
    <w:p>
      <w:pPr>
        <w:spacing w:after="140"/>
      </w:pPr>
      <w:r>
        <w:rPr>
          <w:b/>
          <w:color w:val="1A1A1A"/>
          <w:sz w:val="21"/>
        </w:rPr>
        <w:t>The fleet model carries no model split for these markets. Every N-series truck is simply recorded as light duty, so the calculation applies the N75 rate to all of them. A 3.5 tonne Grafter is therefore charged €739 of parts wallet a year instead of €296.</w:t>
      </w:r>
    </w:p>
    <w:p>
      <w:pPr>
        <w:spacing w:after="140" w:before="0"/>
      </w:pPr>
      <w:r>
        <w:rPr>
          <w:b w:val="0"/>
          <w:i w:val="0"/>
          <w:color w:val="1A1A1A"/>
          <w:sz w:val="21"/>
        </w:rPr>
        <w:t>The scale of the distortion depends entirely on how many 3.5 tonne vehicles a market runs, and that varies enormously.</w:t>
      </w:r>
    </w:p>
    <w:tbl>
      <w:tblPr>
        <w:tblStyle w:val="TableGrid"/>
        <w:tblW w:type="auto" w:w="0"/>
        <w:jc w:val="left"/>
        <w:tblLayout w:type="fixed"/>
        <w:tblLook w:firstColumn="1" w:firstRow="1" w:lastColumn="0" w:lastRow="0" w:noHBand="0" w:noVBand="1" w:val="04A0"/>
      </w:tblPr>
      <w:tblGrid>
        <w:gridCol w:w="2296"/>
        <w:gridCol w:w="2296"/>
        <w:gridCol w:w="2296"/>
        <w:gridCol w:w="2296"/>
      </w:tblGrid>
      <w:tr>
        <w:tc>
          <w:tcPr>
            <w:tcW w:type="dxa" w:w="3288"/>
            <w:shd w:val="clear" w:fill="1F3552"/>
          </w:tcPr>
          <w:p>
            <w:pPr>
              <w:spacing w:after="40" w:before="40"/>
              <w:jc w:val="left"/>
            </w:pPr>
            <w:r>
              <w:rPr>
                <w:b/>
                <w:color w:val="FFFFFF"/>
                <w:sz w:val="18"/>
              </w:rPr>
              <w:t>Market</w:t>
            </w:r>
          </w:p>
        </w:tc>
        <w:tc>
          <w:tcPr>
            <w:tcW w:type="dxa" w:w="2041"/>
            <w:shd w:val="clear" w:fill="1F3552"/>
          </w:tcPr>
          <w:p>
            <w:pPr>
              <w:spacing w:after="40" w:before="40"/>
              <w:jc w:val="right"/>
            </w:pPr>
            <w:r>
              <w:rPr>
                <w:b/>
                <w:color w:val="FFFFFF"/>
                <w:sz w:val="18"/>
              </w:rPr>
              <w:t>3.5 t share of N-series</w:t>
            </w:r>
          </w:p>
        </w:tc>
        <w:tc>
          <w:tcPr>
            <w:tcW w:type="dxa" w:w="1928"/>
            <w:shd w:val="clear" w:fill="1F3552"/>
          </w:tcPr>
          <w:p>
            <w:pPr>
              <w:spacing w:after="40" w:before="40"/>
              <w:jc w:val="right"/>
            </w:pPr>
            <w:r>
              <w:rPr>
                <w:b/>
                <w:color w:val="FFFFFF"/>
                <w:sz w:val="18"/>
              </w:rPr>
              <w:t>Effect on target wallet</w:t>
            </w:r>
          </w:p>
        </w:tc>
        <w:tc>
          <w:tcPr>
            <w:tcW w:type="dxa" w:w="1928"/>
            <w:shd w:val="clear" w:fill="1F3552"/>
          </w:tcPr>
          <w:p>
            <w:pPr>
              <w:spacing w:after="40" w:before="40"/>
              <w:jc w:val="right"/>
            </w:pPr>
            <w:r>
              <w:rPr>
                <w:b/>
                <w:color w:val="FFFFFF"/>
                <w:sz w:val="18"/>
              </w:rPr>
              <w:t>Parts share moves by</w:t>
            </w:r>
          </w:p>
        </w:tc>
      </w:tr>
      <w:tr>
        <w:tc>
          <w:tcPr>
            <w:tcW w:type="dxa" w:w="3288"/>
          </w:tcPr>
          <w:p>
            <w:pPr>
              <w:spacing w:after="40" w:before="40"/>
              <w:jc w:val="left"/>
            </w:pPr>
            <w:r>
              <w:rPr>
                <w:b/>
                <w:sz w:val="19"/>
              </w:rPr>
              <w:t>Portugal</w:t>
            </w:r>
          </w:p>
        </w:tc>
        <w:tc>
          <w:tcPr>
            <w:tcW w:type="dxa" w:w="2041"/>
          </w:tcPr>
          <w:p>
            <w:pPr>
              <w:spacing w:after="40" w:before="40"/>
              <w:jc w:val="right"/>
            </w:pPr>
            <w:r>
              <w:rPr>
                <w:b/>
                <w:sz w:val="19"/>
              </w:rPr>
              <w:t>68.5 %</w:t>
            </w:r>
          </w:p>
        </w:tc>
        <w:tc>
          <w:tcPr>
            <w:tcW w:type="dxa" w:w="1928"/>
          </w:tcPr>
          <w:p>
            <w:pPr>
              <w:spacing w:after="40" w:before="40"/>
              <w:jc w:val="right"/>
            </w:pPr>
            <w:r>
              <w:rPr>
                <w:b/>
                <w:sz w:val="19"/>
              </w:rPr>
              <w:t>−21.9 %</w:t>
            </w:r>
          </w:p>
        </w:tc>
        <w:tc>
          <w:tcPr>
            <w:tcW w:type="dxa" w:w="1928"/>
          </w:tcPr>
          <w:p>
            <w:pPr>
              <w:spacing w:after="40" w:before="40"/>
              <w:jc w:val="right"/>
            </w:pPr>
            <w:r>
              <w:rPr>
                <w:b/>
                <w:sz w:val="19"/>
              </w:rPr>
              <w:t>×1.28</w:t>
            </w:r>
          </w:p>
        </w:tc>
      </w:tr>
      <w:tr>
        <w:tc>
          <w:tcPr>
            <w:tcW w:type="dxa" w:w="3288"/>
            <w:shd w:val="clear" w:fill="F2F4F7"/>
          </w:tcPr>
          <w:p>
            <w:pPr>
              <w:spacing w:after="40" w:before="40"/>
              <w:jc w:val="left"/>
            </w:pPr>
            <w:r>
              <w:rPr>
                <w:b w:val="0"/>
                <w:sz w:val="19"/>
              </w:rPr>
              <w:t>Belgium</w:t>
            </w:r>
          </w:p>
        </w:tc>
        <w:tc>
          <w:tcPr>
            <w:tcW w:type="dxa" w:w="2041"/>
            <w:shd w:val="clear" w:fill="F2F4F7"/>
          </w:tcPr>
          <w:p>
            <w:pPr>
              <w:spacing w:after="40" w:before="40"/>
              <w:jc w:val="right"/>
            </w:pPr>
            <w:r>
              <w:rPr>
                <w:b w:val="0"/>
                <w:sz w:val="19"/>
              </w:rPr>
              <w:t>85.7 %</w:t>
            </w:r>
          </w:p>
        </w:tc>
        <w:tc>
          <w:tcPr>
            <w:tcW w:type="dxa" w:w="1928"/>
            <w:shd w:val="clear" w:fill="F2F4F7"/>
          </w:tcPr>
          <w:p>
            <w:pPr>
              <w:spacing w:after="40" w:before="40"/>
              <w:jc w:val="right"/>
            </w:pPr>
            <w:r>
              <w:rPr>
                <w:b w:val="0"/>
                <w:sz w:val="19"/>
              </w:rPr>
              <w:t>−1.8 %</w:t>
            </w:r>
          </w:p>
        </w:tc>
        <w:tc>
          <w:tcPr>
            <w:tcW w:type="dxa" w:w="1928"/>
            <w:shd w:val="clear" w:fill="F2F4F7"/>
          </w:tcPr>
          <w:p>
            <w:pPr>
              <w:spacing w:after="40" w:before="40"/>
              <w:jc w:val="right"/>
            </w:pPr>
            <w:r>
              <w:rPr>
                <w:b w:val="0"/>
                <w:sz w:val="19"/>
              </w:rPr>
              <w:t>×1.02</w:t>
            </w:r>
          </w:p>
        </w:tc>
      </w:tr>
      <w:tr>
        <w:tc>
          <w:tcPr>
            <w:tcW w:type="dxa" w:w="3288"/>
          </w:tcPr>
          <w:p>
            <w:pPr>
              <w:spacing w:after="40" w:before="40"/>
              <w:jc w:val="left"/>
            </w:pPr>
            <w:r>
              <w:rPr>
                <w:b w:val="0"/>
                <w:sz w:val="19"/>
              </w:rPr>
              <w:t>Ireland</w:t>
            </w:r>
          </w:p>
        </w:tc>
        <w:tc>
          <w:tcPr>
            <w:tcW w:type="dxa" w:w="2041"/>
          </w:tcPr>
          <w:p>
            <w:pPr>
              <w:spacing w:after="40" w:before="40"/>
              <w:jc w:val="right"/>
            </w:pPr>
            <w:r>
              <w:rPr>
                <w:b w:val="0"/>
                <w:sz w:val="19"/>
              </w:rPr>
              <w:t>6.3 %</w:t>
            </w:r>
          </w:p>
        </w:tc>
        <w:tc>
          <w:tcPr>
            <w:tcW w:type="dxa" w:w="1928"/>
          </w:tcPr>
          <w:p>
            <w:pPr>
              <w:spacing w:after="40" w:before="40"/>
              <w:jc w:val="right"/>
            </w:pPr>
            <w:r>
              <w:rPr>
                <w:b w:val="0"/>
                <w:sz w:val="19"/>
              </w:rPr>
              <w:t>−2.1 %</w:t>
            </w:r>
          </w:p>
        </w:tc>
        <w:tc>
          <w:tcPr>
            <w:tcW w:type="dxa" w:w="1928"/>
          </w:tcPr>
          <w:p>
            <w:pPr>
              <w:spacing w:after="40" w:before="40"/>
              <w:jc w:val="right"/>
            </w:pPr>
            <w:r>
              <w:rPr>
                <w:b w:val="0"/>
                <w:sz w:val="19"/>
              </w:rPr>
              <w:t>×1.02</w:t>
            </w:r>
          </w:p>
        </w:tc>
      </w:tr>
      <w:tr>
        <w:tc>
          <w:tcPr>
            <w:tcW w:type="dxa" w:w="3288"/>
            <w:shd w:val="clear" w:fill="F2F4F7"/>
          </w:tcPr>
          <w:p>
            <w:pPr>
              <w:spacing w:after="40" w:before="40"/>
              <w:jc w:val="left"/>
            </w:pPr>
            <w:r>
              <w:rPr>
                <w:b w:val="0"/>
                <w:sz w:val="19"/>
              </w:rPr>
              <w:t>Germany, Malta, Cyprus, Greece</w:t>
            </w:r>
          </w:p>
        </w:tc>
        <w:tc>
          <w:tcPr>
            <w:tcW w:type="dxa" w:w="2041"/>
            <w:shd w:val="clear" w:fill="F2F4F7"/>
          </w:tcPr>
          <w:p>
            <w:pPr>
              <w:spacing w:after="40" w:before="40"/>
              <w:jc w:val="right"/>
            </w:pPr>
            <w:r>
              <w:rPr>
                <w:b w:val="0"/>
                <w:sz w:val="19"/>
              </w:rPr>
              <w:t>0 %</w:t>
            </w:r>
          </w:p>
        </w:tc>
        <w:tc>
          <w:tcPr>
            <w:tcW w:type="dxa" w:w="1928"/>
            <w:shd w:val="clear" w:fill="F2F4F7"/>
          </w:tcPr>
          <w:p>
            <w:pPr>
              <w:spacing w:after="40" w:before="40"/>
              <w:jc w:val="right"/>
            </w:pPr>
            <w:r>
              <w:rPr>
                <w:b w:val="0"/>
                <w:sz w:val="19"/>
              </w:rPr>
              <w:t>no change</w:t>
            </w:r>
          </w:p>
        </w:tc>
        <w:tc>
          <w:tcPr>
            <w:tcW w:type="dxa" w:w="1928"/>
            <w:shd w:val="clear" w:fill="F2F4F7"/>
          </w:tcPr>
          <w:p>
            <w:pPr>
              <w:spacing w:after="40" w:before="40"/>
              <w:jc w:val="right"/>
            </w:pPr>
            <w:r>
              <w:rPr>
                <w:b w:val="0"/>
                <w:sz w:val="19"/>
              </w:rPr>
              <w:t>×1.00</w:t>
            </w:r>
          </w:p>
        </w:tc>
      </w:tr>
      <w:tr>
        <w:tc>
          <w:tcPr>
            <w:tcW w:type="dxa" w:w="3288"/>
          </w:tcPr>
          <w:p>
            <w:pPr>
              <w:spacing w:after="40" w:before="40"/>
              <w:jc w:val="left"/>
            </w:pPr>
            <w:r>
              <w:rPr>
                <w:b w:val="0"/>
                <w:sz w:val="19"/>
              </w:rPr>
              <w:t>Seven markets together</w:t>
            </w:r>
          </w:p>
        </w:tc>
        <w:tc>
          <w:tcPr>
            <w:tcW w:type="dxa" w:w="2041"/>
          </w:tcPr>
          <w:p>
            <w:pPr>
              <w:spacing w:after="40" w:before="40"/>
              <w:jc w:val="right"/>
            </w:pPr>
            <w:r>
              <w:rPr>
                <w:b/>
                <w:sz w:val="19"/>
              </w:rPr>
              <w:t>42.5 %</w:t>
            </w:r>
          </w:p>
        </w:tc>
        <w:tc>
          <w:tcPr>
            <w:tcW w:type="dxa" w:w="1928"/>
          </w:tcPr>
          <w:p>
            <w:pPr>
              <w:spacing w:after="40" w:before="40"/>
              <w:jc w:val="right"/>
            </w:pPr>
            <w:r>
              <w:rPr>
                <w:b/>
                <w:sz w:val="19"/>
              </w:rPr>
              <w:t>−6.0 %</w:t>
            </w:r>
          </w:p>
        </w:tc>
        <w:tc>
          <w:tcPr>
            <w:tcW w:type="dxa" w:w="1928"/>
          </w:tcPr>
          <w:p>
            <w:pPr>
              <w:spacing w:after="40" w:before="40"/>
              <w:jc w:val="right"/>
            </w:pPr>
            <w:r>
              <w:rPr>
                <w:b/>
                <w:sz w:val="19"/>
              </w:rPr>
              <w:t>×1.06</w:t>
            </w:r>
          </w:p>
        </w:tc>
      </w:tr>
    </w:tbl>
    <w:p>
      <w:pPr>
        <w:spacing w:after="200" w:before="60"/>
      </w:pPr>
      <w:r>
        <w:rPr>
          <w:b w:val="0"/>
          <w:i/>
          <w:color w:val="595959"/>
          <w:sz w:val="17"/>
        </w:rPr>
        <w:t>Belgium has the highest Grafter share but very few trucks, so it barely moves — its wallet is almost entirely pickups. The 3.5 tonne share is measured from vehicles shipped between 2020 and 2026 and applied to the whole 2025 fleet; older vehicles may carry a different mix. Treat this as an indication of scale, not a restatement.</w:t>
      </w:r>
    </w:p>
    <w:p>
      <w:pPr>
        <w:spacing w:after="140"/>
      </w:pPr>
      <w:r>
        <w:rPr>
          <w:b/>
          <w:color w:val="1A1A1A"/>
          <w:sz w:val="21"/>
        </w:rPr>
        <w:t xml:space="preserve">Portugal is the one that matters. </w:t>
      </w:r>
      <w:r>
        <w:rPr>
          <w:b w:val="0"/>
          <w:color w:val="1A1A1A"/>
          <w:sz w:val="21"/>
        </w:rPr>
        <w:t>Its target wallet falls from €3.05 million to €2.38 million, which means Portugal's parts share is currently understated by roughly a quarter.</w:t>
      </w:r>
    </w:p>
    <w:p>
      <w:pPr>
        <w:pStyle w:val="Heading1"/>
      </w:pPr>
      <w:r>
        <w:t>9.  Issue seven — the documentation no longer describes the model</w:t>
      </w:r>
    </w:p>
    <w:p>
      <w:pPr>
        <w:spacing w:after="140" w:before="0"/>
      </w:pPr>
      <w:r>
        <w:rPr>
          <w:b w:val="0"/>
          <w:i w:val="0"/>
          <w:color w:val="1A1A1A"/>
          <w:sz w:val="21"/>
        </w:rPr>
        <w:t>The June change overwrote the calculations, but the method descriptions inside the file were not updated. The file now reads as though two people wrote it.</w:t>
      </w:r>
    </w:p>
    <w:tbl>
      <w:tblPr>
        <w:tblStyle w:val="TableGrid"/>
        <w:tblW w:type="auto" w:w="0"/>
        <w:jc w:val="left"/>
        <w:tblLayout w:type="fixed"/>
        <w:tblLook w:firstColumn="1" w:firstRow="1" w:lastColumn="0" w:lastRow="0" w:noHBand="0" w:noVBand="1" w:val="04A0"/>
      </w:tblPr>
      <w:tblGrid>
        <w:gridCol w:w="3061"/>
        <w:gridCol w:w="3061"/>
        <w:gridCol w:w="3061"/>
      </w:tblGrid>
      <w:tr>
        <w:tc>
          <w:tcPr>
            <w:tcW w:type="dxa" w:w="4309"/>
            <w:shd w:val="clear" w:fill="1F3552"/>
          </w:tcPr>
          <w:p>
            <w:pPr>
              <w:spacing w:after="40" w:before="40"/>
              <w:jc w:val="left"/>
            </w:pPr>
            <w:r>
              <w:rPr>
                <w:b/>
                <w:color w:val="FFFFFF"/>
                <w:sz w:val="18"/>
              </w:rPr>
              <w:t>What the file states</w:t>
            </w:r>
          </w:p>
        </w:tc>
        <w:tc>
          <w:tcPr>
            <w:tcW w:type="dxa" w:w="2438"/>
            <w:shd w:val="clear" w:fill="1F3552"/>
          </w:tcPr>
          <w:p>
            <w:pPr>
              <w:spacing w:after="40" w:before="40"/>
              <w:jc w:val="right"/>
            </w:pPr>
            <w:r>
              <w:rPr>
                <w:b/>
                <w:color w:val="FFFFFF"/>
                <w:sz w:val="18"/>
              </w:rPr>
              <w:t>What it actually produces in 2030</w:t>
            </w:r>
          </w:p>
        </w:tc>
        <w:tc>
          <w:tcPr>
            <w:tcW w:type="dxa" w:w="2438"/>
            <w:shd w:val="clear" w:fill="1F3552"/>
          </w:tcPr>
          <w:p>
            <w:pPr>
              <w:spacing w:after="40" w:before="40"/>
              <w:jc w:val="right"/>
            </w:pPr>
            <w:r>
              <w:rPr>
                <w:b/>
                <w:color w:val="FFFFFF"/>
                <w:sz w:val="18"/>
              </w:rPr>
              <w:t>What the stated method gives</w:t>
            </w:r>
          </w:p>
        </w:tc>
      </w:tr>
      <w:tr>
        <w:tc>
          <w:tcPr>
            <w:tcW w:type="dxa" w:w="4309"/>
          </w:tcPr>
          <w:p>
            <w:pPr>
              <w:spacing w:after="40" w:before="40"/>
              <w:jc w:val="left"/>
            </w:pPr>
            <w:r>
              <w:rPr>
                <w:b w:val="0"/>
                <w:sz w:val="19"/>
              </w:rPr>
              <w:t>Ireland pickups: IMIT growth rates, 2030 = 2,648</w:t>
            </w:r>
          </w:p>
        </w:tc>
        <w:tc>
          <w:tcPr>
            <w:tcW w:type="dxa" w:w="2438"/>
          </w:tcPr>
          <w:p>
            <w:pPr>
              <w:spacing w:after="40" w:before="40"/>
              <w:jc w:val="right"/>
            </w:pPr>
            <w:r>
              <w:rPr>
                <w:b/>
                <w:sz w:val="19"/>
              </w:rPr>
              <w:t>3,174</w:t>
            </w:r>
          </w:p>
        </w:tc>
        <w:tc>
          <w:tcPr>
            <w:tcW w:type="dxa" w:w="2438"/>
          </w:tcPr>
          <w:p>
            <w:pPr>
              <w:spacing w:after="40" w:before="40"/>
              <w:jc w:val="right"/>
            </w:pPr>
            <w:r>
              <w:rPr>
                <w:b w:val="0"/>
                <w:sz w:val="19"/>
              </w:rPr>
              <w:t>2,648</w:t>
            </w:r>
          </w:p>
        </w:tc>
      </w:tr>
      <w:tr>
        <w:tc>
          <w:tcPr>
            <w:tcW w:type="dxa" w:w="4309"/>
            <w:shd w:val="clear" w:fill="F2F4F7"/>
          </w:tcPr>
          <w:p>
            <w:pPr>
              <w:spacing w:after="40" w:before="40"/>
              <w:jc w:val="left"/>
            </w:pPr>
            <w:r>
              <w:rPr>
                <w:b w:val="0"/>
                <w:sz w:val="19"/>
              </w:rPr>
              <w:t>Portugal trucks: 3 % decay, no sales plan available</w:t>
            </w:r>
          </w:p>
        </w:tc>
        <w:tc>
          <w:tcPr>
            <w:tcW w:type="dxa" w:w="2438"/>
            <w:shd w:val="clear" w:fill="F2F4F7"/>
          </w:tcPr>
          <w:p>
            <w:pPr>
              <w:spacing w:after="40" w:before="40"/>
              <w:jc w:val="right"/>
            </w:pPr>
            <w:r>
              <w:rPr>
                <w:b/>
                <w:sz w:val="19"/>
              </w:rPr>
              <w:t>4,042</w:t>
            </w:r>
          </w:p>
        </w:tc>
        <w:tc>
          <w:tcPr>
            <w:tcW w:type="dxa" w:w="2438"/>
            <w:shd w:val="clear" w:fill="F2F4F7"/>
          </w:tcPr>
          <w:p>
            <w:pPr>
              <w:spacing w:after="40" w:before="40"/>
              <w:jc w:val="right"/>
            </w:pPr>
            <w:r>
              <w:rPr>
                <w:b w:val="0"/>
                <w:sz w:val="19"/>
              </w:rPr>
              <w:t>about 1,895</w:t>
            </w:r>
          </w:p>
        </w:tc>
      </w:tr>
      <w:tr>
        <w:tc>
          <w:tcPr>
            <w:tcW w:type="dxa" w:w="4309"/>
          </w:tcPr>
          <w:p>
            <w:pPr>
              <w:spacing w:after="40" w:before="40"/>
              <w:jc w:val="left"/>
            </w:pPr>
            <w:r>
              <w:rPr>
                <w:b w:val="0"/>
                <w:sz w:val="19"/>
              </w:rPr>
              <w:t>Portugal pickups: 8 % growth per year</w:t>
            </w:r>
          </w:p>
        </w:tc>
        <w:tc>
          <w:tcPr>
            <w:tcW w:type="dxa" w:w="2438"/>
          </w:tcPr>
          <w:p>
            <w:pPr>
              <w:spacing w:after="40" w:before="40"/>
              <w:jc w:val="right"/>
            </w:pPr>
            <w:r>
              <w:rPr>
                <w:b/>
                <w:sz w:val="19"/>
              </w:rPr>
              <w:t>8,128</w:t>
            </w:r>
          </w:p>
        </w:tc>
        <w:tc>
          <w:tcPr>
            <w:tcW w:type="dxa" w:w="2438"/>
          </w:tcPr>
          <w:p>
            <w:pPr>
              <w:spacing w:after="40" w:before="40"/>
              <w:jc w:val="right"/>
            </w:pPr>
            <w:r>
              <w:rPr>
                <w:b w:val="0"/>
                <w:sz w:val="19"/>
              </w:rPr>
              <w:t>6,954</w:t>
            </w:r>
          </w:p>
        </w:tc>
      </w:tr>
    </w:tbl>
    <w:p>
      <w:pPr>
        <w:spacing w:after="80" w:before="0"/>
      </w:pPr>
    </w:p>
    <w:p>
      <w:pPr>
        <w:spacing w:after="140" w:before="0"/>
      </w:pPr>
      <w:r>
        <w:rPr>
          <w:b w:val="0"/>
          <w:i w:val="0"/>
          <w:color w:val="1A1A1A"/>
          <w:sz w:val="21"/>
        </w:rPr>
        <w:t>The source list also still describes Germany and Portugal as based on the old scrap-adjusted car park and quotes figures we stopped using in June. Germany is the one market where that old method genuinely does still drive the numbers.</w:t>
      </w:r>
    </w:p>
    <w:p>
      <w:pPr>
        <w:pStyle w:val="Heading1"/>
      </w:pPr>
      <w:r>
        <w:t>10.  What we will rebuild, and in what order</w:t>
      </w:r>
    </w:p>
    <w:p>
      <w:pPr>
        <w:spacing w:after="80"/>
        <w:ind w:left="482" w:hanging="482"/>
      </w:pPr>
      <w:r>
        <w:rPr>
          <w:b/>
          <w:sz w:val="21"/>
        </w:rPr>
        <w:t xml:space="preserve">1.  </w:t>
      </w:r>
      <w:r>
        <w:rPr>
          <w:b/>
          <w:sz w:val="21"/>
        </w:rPr>
        <w:t>Israel.</w:t>
      </w:r>
      <w:r>
        <w:rPr>
          <w:sz w:val="21"/>
        </w:rPr>
        <w:t xml:space="preserve"> Self-contained, dependent on nothing else, and the largest single correction.</w:t>
      </w:r>
    </w:p>
    <w:p>
      <w:pPr>
        <w:spacing w:after="80"/>
        <w:ind w:left="482" w:hanging="482"/>
      </w:pPr>
      <w:r>
        <w:rPr>
          <w:b/>
          <w:sz w:val="21"/>
        </w:rPr>
        <w:t xml:space="preserve">2.  </w:t>
      </w:r>
      <w:r>
        <w:rPr>
          <w:b/>
          <w:sz w:val="21"/>
        </w:rPr>
        <w:t>The survival curve.</w:t>
      </w:r>
      <w:r>
        <w:rPr>
          <w:sz w:val="21"/>
        </w:rPr>
        <w:t xml:space="preserve"> Issues one and two are a single change and will be made together.</w:t>
      </w:r>
    </w:p>
    <w:p>
      <w:pPr>
        <w:spacing w:after="80"/>
        <w:ind w:left="482" w:hanging="482"/>
      </w:pPr>
      <w:r>
        <w:rPr>
          <w:b/>
          <w:sz w:val="21"/>
        </w:rPr>
        <w:t xml:space="preserve">3.  </w:t>
      </w:r>
      <w:r>
        <w:rPr>
          <w:b/>
          <w:sz w:val="21"/>
        </w:rPr>
        <w:t>Sales plan handling.</w:t>
      </w:r>
      <w:r>
        <w:rPr>
          <w:sz w:val="21"/>
        </w:rPr>
        <w:t xml:space="preserve"> One-to-one on the level, smoothed on the annual profile, plan-only rows separated out of the headline total.</w:t>
      </w:r>
    </w:p>
    <w:p>
      <w:pPr>
        <w:spacing w:after="80"/>
        <w:ind w:left="482" w:hanging="482"/>
      </w:pPr>
      <w:r>
        <w:rPr>
          <w:b/>
          <w:sz w:val="21"/>
        </w:rPr>
        <w:t xml:space="preserve">4.  </w:t>
      </w:r>
      <w:r>
        <w:rPr>
          <w:b/>
          <w:sz w:val="21"/>
        </w:rPr>
        <w:t>Low-confidence markets.</w:t>
      </w:r>
      <w:r>
        <w:rPr>
          <w:sz w:val="21"/>
        </w:rPr>
        <w:t xml:space="preserve"> Belgium, Cyprus, Malta and Greece flagged and queued.</w:t>
      </w:r>
    </w:p>
    <w:p>
      <w:pPr>
        <w:spacing w:after="80"/>
        <w:ind w:left="482" w:hanging="482"/>
      </w:pPr>
      <w:r>
        <w:rPr>
          <w:b/>
          <w:sz w:val="21"/>
        </w:rPr>
        <w:t xml:space="preserve">5.  </w:t>
      </w:r>
      <w:r>
        <w:rPr>
          <w:b/>
          <w:sz w:val="21"/>
        </w:rPr>
        <w:t>Weight classes and the parts wallet.</w:t>
      </w:r>
      <w:r>
        <w:rPr>
          <w:sz w:val="21"/>
        </w:rPr>
        <w:t xml:space="preserve"> Independent of the rest and can run in parallel. The fleet model is unaffected today, but the parts share half is live and affecting Portugal now.</w:t>
      </w:r>
    </w:p>
    <w:p>
      <w:pPr>
        <w:spacing w:after="80"/>
        <w:ind w:left="482" w:hanging="482"/>
      </w:pPr>
      <w:r>
        <w:rPr>
          <w:b/>
          <w:sz w:val="21"/>
        </w:rPr>
        <w:t xml:space="preserve">6.  </w:t>
      </w:r>
      <w:r>
        <w:rPr>
          <w:b/>
          <w:sz w:val="21"/>
        </w:rPr>
        <w:t>Documentation.</w:t>
      </w:r>
      <w:r>
        <w:rPr>
          <w:sz w:val="21"/>
        </w:rPr>
        <w:t xml:space="preserve"> Rewritten to describe what the rebuilt model actually does.</w:t>
      </w:r>
    </w:p>
    <w:p>
      <w:pPr>
        <w:pStyle w:val="Heading2"/>
      </w:pPr>
      <w:r>
        <w:t>How we will know it is right</w:t>
      </w:r>
    </w:p>
    <w:p>
      <w:pPr>
        <w:pStyle w:val="ListBullet"/>
        <w:spacing w:after="80"/>
        <w:ind w:left="340"/>
      </w:pPr>
      <w:r>
        <w:rPr>
          <w:sz w:val="21"/>
        </w:rPr>
        <w:t>Running the forecast engine backwards to 2025 must land on the historical figure within one vehicle, for Ireland, Portugal and Israel. There must be no step at the 2025 to 2026 boundary.</w:t>
      </w:r>
    </w:p>
    <w:p>
      <w:pPr>
        <w:pStyle w:val="ListBullet"/>
        <w:spacing w:after="80"/>
        <w:ind w:left="340"/>
      </w:pPr>
      <w:r>
        <w:rPr>
          <w:sz w:val="21"/>
        </w:rPr>
        <w:t>The pickup fleet in 2030 must be smaller than in 2025. Falling registrations cannot grow a fleet.</w:t>
      </w:r>
    </w:p>
    <w:p>
      <w:pPr>
        <w:pStyle w:val="ListBullet"/>
        <w:spacing w:after="80"/>
        <w:ind w:left="340"/>
      </w:pPr>
      <w:r>
        <w:rPr>
          <w:sz w:val="21"/>
        </w:rPr>
        <w:t>Israel 2026 must reconcile to 14,019 vehicles, class by class, with any exclusions written down.</w:t>
      </w:r>
    </w:p>
    <w:p>
      <w:pPr>
        <w:pStyle w:val="ListBullet"/>
        <w:spacing w:after="80"/>
        <w:ind w:left="340"/>
      </w:pPr>
      <w:r>
        <w:rPr>
          <w:sz w:val="21"/>
        </w:rPr>
        <w:t>No market may grow faster than its registration input divided by the length of its survival curve.</w:t>
      </w:r>
    </w:p>
    <w:p>
      <w:pPr>
        <w:pStyle w:val="ListBullet"/>
        <w:spacing w:after="80"/>
        <w:ind w:left="340"/>
      </w:pPr>
      <w:r>
        <w:rPr>
          <w:sz w:val="21"/>
        </w:rPr>
        <w:t>Every forecast figure must trace to a named source that exists.</w:t>
      </w:r>
    </w:p>
    <w:p>
      <w:pPr>
        <w:pStyle w:val="Heading1"/>
      </w:pPr>
      <w:r>
        <w:t>11.  What we need from IML</w:t>
      </w:r>
    </w:p>
    <w:p>
      <w:pPr>
        <w:spacing w:after="140" w:before="0"/>
      </w:pPr>
      <w:r>
        <w:rPr>
          <w:b w:val="0"/>
          <w:i w:val="0"/>
          <w:color w:val="1A1A1A"/>
          <w:sz w:val="21"/>
        </w:rPr>
        <w:t>Six items. The first is the one that blocks the largest correction.</w:t>
      </w:r>
    </w:p>
    <w:p>
      <w:pPr>
        <w:spacing w:after="120"/>
        <w:ind w:left="482" w:hanging="482"/>
      </w:pPr>
      <w:r>
        <w:rPr>
          <w:b/>
          <w:sz w:val="21"/>
        </w:rPr>
        <w:t xml:space="preserve">1.  </w:t>
      </w:r>
      <w:r>
        <w:rPr>
          <w:b/>
          <w:sz w:val="21"/>
        </w:rPr>
        <w:t>The Israeli registration extract, as data.</w:t>
      </w:r>
      <w:r>
        <w:rPr>
          <w:sz w:val="21"/>
        </w:rPr>
        <w:t xml:space="preserve"> The presentation contains a picture of the fleet, not the fleet itself. The chart of registration years cannot be read reliably — it carries fourteen bars for thirteen years, a duplicated 2022 label, and one bar with no figure on it. We need registration year by weight class, together with the Ministry's class definitions. Without it we cannot split the 3,259 vehicle gap between the three candidate explanations, and Israel is the largest single correction in the rebuild.</w:t>
      </w:r>
    </w:p>
    <w:p>
      <w:pPr>
        <w:spacing w:after="120"/>
        <w:ind w:left="482" w:hanging="482"/>
      </w:pPr>
      <w:r>
        <w:rPr>
          <w:b/>
          <w:sz w:val="21"/>
        </w:rPr>
        <w:t xml:space="preserve">2.  </w:t>
      </w:r>
      <w:r>
        <w:rPr>
          <w:b/>
          <w:sz w:val="21"/>
        </w:rPr>
        <w:t>Confirmation of the survival curves IML recommends for Europe.</w:t>
      </w:r>
      <w:r>
        <w:rPr>
          <w:sz w:val="21"/>
        </w:rPr>
        <w:t xml:space="preserve"> We are returning to the cohort and survival method for the forecast years. We would rather apply IML's current curves for advanced-economy commercial vehicles and for pickups than continue with the versions we hold, which date from earlier studies.</w:t>
      </w:r>
    </w:p>
    <w:p>
      <w:pPr>
        <w:spacing w:after="120"/>
        <w:ind w:left="482" w:hanging="482"/>
      </w:pPr>
      <w:r>
        <w:rPr>
          <w:b/>
          <w:sz w:val="21"/>
        </w:rPr>
        <w:t xml:space="preserve">3.  </w:t>
      </w:r>
      <w:r>
        <w:rPr>
          <w:b/>
          <w:sz w:val="21"/>
        </w:rPr>
        <w:t>Vehicle-level shipment records for the United Kingdom and Israel.</w:t>
      </w:r>
      <w:r>
        <w:rPr>
          <w:sz w:val="21"/>
        </w:rPr>
        <w:t xml:space="preserve"> We now hold these for the seven European markets and they have proved decisive — they gave us the measured scrappage rate and settled the shipment-versus-registration question. Israel in particular, combined with the government fleet data, would let us decompose the gap properly rather than reasoning between three explanations.</w:t>
      </w:r>
    </w:p>
    <w:p>
      <w:pPr>
        <w:spacing w:after="120"/>
        <w:ind w:left="482" w:hanging="482"/>
      </w:pPr>
      <w:r>
        <w:rPr>
          <w:b/>
          <w:sz w:val="21"/>
        </w:rPr>
        <w:t xml:space="preserve">4.  </w:t>
      </w:r>
      <w:r>
        <w:rPr>
          <w:b/>
          <w:sz w:val="21"/>
        </w:rPr>
        <w:t>Confirmation that the November 2025 IMIT registration forecast still stands.</w:t>
      </w:r>
      <w:r>
        <w:rPr>
          <w:sz w:val="21"/>
        </w:rPr>
        <w:t xml:space="preserve"> It shows European pickup registrations falling 29 % in 2026. That single figure turns our pickup fleet from growth to decline and will move a large number of downstream commercial metrics. Before we publish that reversal we want confirmation that it remains IML's current view.</w:t>
      </w:r>
    </w:p>
    <w:p>
      <w:pPr>
        <w:spacing w:after="120"/>
        <w:ind w:left="482" w:hanging="482"/>
      </w:pPr>
      <w:r>
        <w:rPr>
          <w:b/>
          <w:sz w:val="21"/>
        </w:rPr>
        <w:t xml:space="preserve">5.  </w:t>
      </w:r>
      <w:r>
        <w:rPr>
          <w:b/>
          <w:sz w:val="21"/>
        </w:rPr>
        <w:t>Confirmation of the £400 per year parts assumption for the N35.</w:t>
      </w:r>
      <w:r>
        <w:rPr>
          <w:sz w:val="21"/>
        </w:rPr>
        <w:t xml:space="preserve"> It comes from the ITUK Parts Sales Target Study and was calibrated on the United Kingdom. We are about to apply it to Portugal, where more than two thirds of the truck fleet is 3.5 tonne. We need to know whether that rate is intended to travel outside the UK, or whether a separate European figure is required.</w:t>
      </w:r>
    </w:p>
    <w:p>
      <w:pPr>
        <w:spacing w:after="120"/>
        <w:ind w:left="482" w:hanging="482"/>
      </w:pPr>
      <w:r>
        <w:rPr>
          <w:b/>
          <w:sz w:val="21"/>
        </w:rPr>
        <w:t xml:space="preserve">6.  </w:t>
      </w:r>
      <w:r>
        <w:rPr>
          <w:b/>
          <w:sz w:val="21"/>
        </w:rPr>
        <w:t>A view on registration data for Belgium, Cyprus, Malta and Greece.</w:t>
      </w:r>
      <w:r>
        <w:rPr>
          <w:sz w:val="21"/>
        </w:rPr>
        <w:t xml:space="preserve"> If IML holds nothing better than the current backbone for these four, we will source registration data locally. We would rather know that now than duplicate work.</w:t>
      </w:r>
    </w:p>
    <w:p>
      <w:pPr>
        <w:pStyle w:val="Heading1"/>
      </w:pPr>
      <w:r>
        <w:t>12.  In the meantime</w:t>
      </w:r>
    </w:p>
    <w:p>
      <w:pPr>
        <w:spacing w:after="140" w:before="0"/>
      </w:pPr>
      <w:r>
        <w:rPr>
          <w:b w:val="0"/>
          <w:i w:val="0"/>
          <w:color w:val="1A1A1A"/>
          <w:sz w:val="21"/>
        </w:rPr>
        <w:t>Until the rebuild is complete we are treating the 2026–2030 fleet forecast as unusable and will not quote it. Historical years up to 2025 remain valid for all markets except Israel, where the full series is understated. The United Kingdom is unaffected throughout — it already uses the method the rest of the model is moving to.</w:t>
      </w:r>
    </w:p>
    <w:sectPr w:rsidR="00FC693F" w:rsidRPr="0006063C" w:rsidSect="00034616">
      <w:footerReference w:type="default" r:id="rId9"/>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84" w:val="right"/>
      </w:tabs>
      <w:spacing w:before="80"/>
    </w:pPr>
    <w:r>
      <w:rPr>
        <w:color w:val="595959"/>
        <w:sz w:val="16"/>
      </w:rPr>
      <w:t>Units in Operation — model review and rebuild plan  ·  ISZE  ·  27 July 2026</w:t>
      <w:tab/>
    </w:r>
    <w:r>
      <w:rPr>
        <w:color w:val="595959"/>
        <w:sz w:val="16"/>
      </w:rPr>
      <w:fldChar w:fldCharType="begin"/>
      <w:instrText xml:space="preserve"> PAGE </w:instrText>
      <w:fldChar w:fldCharType="end"/>
    </w:r>
    <w:r>
      <w:rPr>
        <w:color w:val="595959"/>
        <w:sz w:val="16"/>
      </w:rPr>
      <w:t xml:space="preserve"> of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CC0E1E"/>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A1A1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