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1F4E79"/>
          <w:sz w:val="32"/>
        </w:rPr>
        <w:t>DRAFT — Minutes of Meeting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Subject: </w:t>
      </w:r>
      <w:r>
        <w:rPr>
          <w:rFonts w:ascii="Calibri" w:hAnsi="Calibri" w:eastAsia="Calibri"/>
          <w:b w:val="0"/>
          <w:sz w:val="22"/>
        </w:rPr>
        <w:t>ITUK / ISZE / ISZJ — Spare parts business meeting (PMS Parts Sales Promotion Activities)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Date: </w:t>
      </w:r>
      <w:r>
        <w:rPr>
          <w:rFonts w:ascii="Calibri" w:hAnsi="Calibri" w:eastAsia="Calibri"/>
          <w:b w:val="0"/>
          <w:sz w:val="22"/>
        </w:rPr>
        <w:t>18 August 2026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Time / place: </w:t>
      </w:r>
      <w:r>
        <w:rPr>
          <w:rFonts w:ascii="Calibri" w:hAnsi="Calibri" w:eastAsia="Calibri"/>
          <w:b w:val="0"/>
          <w:sz w:val="22"/>
        </w:rPr>
        <w:t>06:00–08:00 UTC · Microsoft Teams / ISZJ HQ12 M13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Duration: </w:t>
      </w:r>
      <w:r>
        <w:rPr>
          <w:rFonts w:ascii="Calibri" w:hAnsi="Calibri" w:eastAsia="Calibri"/>
          <w:b w:val="0"/>
          <w:sz w:val="22"/>
        </w:rPr>
        <w:t>approx. 1 h 34 min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Organised by: </w:t>
      </w:r>
      <w:r>
        <w:rPr>
          <w:rFonts w:ascii="Calibri" w:hAnsi="Calibri" w:eastAsia="Calibri"/>
          <w:b w:val="0"/>
          <w:sz w:val="22"/>
        </w:rPr>
        <w:t>Takayoshi Suzuki (ISZJ)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Source: </w:t>
      </w:r>
      <w:r>
        <w:rPr>
          <w:rFonts w:ascii="Calibri" w:hAnsi="Calibri" w:eastAsia="Calibri"/>
          <w:b w:val="0"/>
          <w:sz w:val="22"/>
        </w:rPr>
        <w:t>Teams transcript shared by Suzuki-san, 25 August 2026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Status: </w:t>
      </w:r>
      <w:r>
        <w:rPr>
          <w:rFonts w:ascii="Calibri" w:hAnsi="Calibri" w:eastAsia="Calibri"/>
          <w:b w:val="0"/>
          <w:sz w:val="22"/>
        </w:rPr>
        <w:t>DRAFT for review — not yet circulated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1. 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Organisation</w:t>
            </w:r>
          </w:p>
        </w:tc>
        <w:tc>
          <w:tcPr>
            <w:tcW w:type="dxa" w:w="2268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Name</w:t>
            </w:r>
          </w:p>
        </w:tc>
        <w:tc>
          <w:tcPr>
            <w:tcW w:type="dxa" w:w="5669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Title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Peter Murphy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Managing Director, Isuzu Truck (UK) Ltd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Tim Hicks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Operations &amp; Product Director, Isuzu Truck (UK) Ltd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Stuart Beeton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Head of Sales &amp; Marketing, Isuzu Truck (UK) Ltd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Duncan Young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Parts Director, Isuzu Truck (UK) Ltd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Jerome Van Der Pluym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Assistant Manager // Pricing analyst, Sales – Vehicle Parts, Isuzu Motors Europe NV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ISZJ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Takayoshi Suzuki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International Parts Business (ISZJ / IML)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ISZJ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Miki Sugano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[TBC — title not in mailbox signatures or prior MoMs]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 w:val="0"/>
          <w:i/>
          <w:color w:val="000000"/>
          <w:sz w:val="20"/>
        </w:rPr>
        <w:t>Not present: Masumi Hayakawa (ISZE), Hadewijch Tibos (ISZE).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2. Agenda (as covered)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1. ITUK presentation — PMS campaign scope, dealer workflow, KPIs, implementation roadmap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2. ITUK maintenance-contract package evolution (Connected / Essential / Complete) — context only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3. ISZE presentation — N75 coverage, filter / brake / clutch support options (BVP / SPA)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4. Open discussion — air filter interval, focus parts, SPA logic, brake pricing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5. Agreements and next actions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3. Summary of discussion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3.1 Campaign scope and timeline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Phase 1: N75 fleet (dealers with workshops / repeated touch points).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Phase 2: N35 (and further external / out-of-network opportunity) — later; not the immediate launch focus.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Target launch: notify / drive from September, go-live October 2026, with pilot / scale through late 2026 into 2027.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Communication tools discussed: one-page bulletin, monthly league table, follow-up via network development managers.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Management headline target referenced by ISZE: +1% PMS share by value (standard distributor target). ISZJ noted that, depending on focus parts, a higher stretch may be appropriate once baselines are known.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3.2 ITUK operating model (Duncan)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Core focus categories: oil and fuel filters; brakes (condition-based); clutch (VIN / application specific); air filter as incremental / inspection-based.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Dealer flow: confirm contract maintenance; prepare parts for scheduled service; service advisor authorisation; technician check sheet; no unnecessary parts fitted only for cycle.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Baselines: per-dealership baselines from ITUK 2025 parts sales / UIO for selected part numbers; incentivise uplift from baseline.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KPIs: selected PMS part quantity &amp; value vs baseline; air-filter inclusion (if kept); workshop retention / reminders; contract-maintenance penetration; parts availability / back orders; VIN part selection accuracy.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Support requested from ISZE / ISZJ: commercial / SPA / BVP support, especially N75 brakes.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3.3 Maintenance packages (Tim) — context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Package evolution (Connected / Essential / Complete) and five-year warranty / connected pathway explained as ITUK commercial context.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Essential covers PMS-type activity (filters, safety inspections) but not brakes; Complete is full R&amp;M.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This was background to explain why TCO and service intervals matter; it is not the PMS parts campaign itself.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3.4 ISZE coverage view (Jerome)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N75 park figure used: 9,359 units (DVLA / Retax 2024). ITUK challenged full-park vs ~10-year operable park; Jerome acknowledged and proposed possibly showing both figures.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Theoretical service rate discussed at 40,000 km (~1.25 services/year) for filter math — with caveats on air filter.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Indicative coverage: oil filter ~40–45%; fuel filter higher at ITUK→dealer (~63%) than ISZE→ITUK (~31%) — likely timing / production-order effect; air filter ~20%.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Genuine / BVP mix: oil and fuel already have BVP share; air filter showed no BVP sales in the period reviewed.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Brake pads: condition-based (operator-licence safety inspections, commonly ~every 8 weeks). SPA preferred while waiting for BVP.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Clutch: manual share likely ~20% (not ~47%); Duncan to confirm. Potential lower priority vs air / brakes.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3.5 Air filter — agreed understanding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Forcing air filter replacement at every 40,000 km is not realistic for UK R&amp;M / TCO.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ITUK practice: check and replace when necessary (aligned with maintenance planner / indicator logic for P700).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Air filter should not be pushed as a fixed every-service item in Phase 1.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If a filter "pack" is used: supply as grouped parts to the dealer, with dealer confirming need — not a forced kit.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3.6 AdBlue filter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Demand skewed by recent AdBlue rework (~6,000 vehicles). Leave AdBlue quantities out of the PMS campaign metrics for now.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3.7 Brakes — main commercial focus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Brake price competitiveness is the #1 dealer complaint and a barrier to truck sales and aftersales perception.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ITUK margin on N75 brake pads already ~18% after logistics — no further ITUK cut available; needs ISZE / ISZJ support.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BVP brake parts: production / launch from Japan around December 2026; realistic availability toward end of Q1 2027.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Until BVP: proceed with SPA on genuine as a temporary bridge.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Acceptable gap vs aftermarket discussed as roughly 15–20%; current gap is larger.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SPA may protect existing volume (stop decline), not only force large volume/profit jumps — case-by-case with ISZE management; ISZJ can support ISZE if required.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3.8 Clutch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ISZJ suggested lower focus (limited potential vs filters / brakes).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Kept as secondary / annual promo track (see Decision 5).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4. Decisions / agreements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#</w:t>
            </w:r>
          </w:p>
        </w:tc>
        <w:tc>
          <w:tcPr>
            <w:tcW w:type="dxa" w:w="8674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Agreement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Proceed with Phase 1 = N75, October go-live target, using ITUK dealer baselines + ISZE commercial support (BVP / SPA).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Primary commercial focus for SPA / pricing support: brake parts (genuine SPA until BVP available).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Do not force air filter every 40,000 km; inspection / replace-when-necessary approach for UK.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Exclude AdBlue filter volumes from campaign baseline metrics (rework distortion).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Clutch = secondary / annual promo track — not the main Phase 1 focus. Duncan will still run the usual annual clutch promotion with ISZE (light-touch).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Headline +1% PMS value remains the stated management target; dealer baselines first, then refine ambition.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SPA route: ITUK → ISZE first; ISZJ support to ISZE if required.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Continue joint follow-up (Teams periodically; face-to-face opportunity around October / possible Belgium visit).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5.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#</w:t>
            </w:r>
          </w:p>
        </w:tc>
        <w:tc>
          <w:tcPr>
            <w:tcW w:type="dxa" w:w="4535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Action</w:t>
            </w:r>
          </w:p>
        </w:tc>
        <w:tc>
          <w:tcPr>
            <w:tcW w:type="dxa" w:w="2551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Owner</w:t>
            </w:r>
          </w:p>
        </w:tc>
        <w:tc>
          <w:tcPr>
            <w:tcW w:type="dxa" w:w="1701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Due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Provide / update brake-parts target figures (volume / gap for SPA discussion)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 (Duncan Young)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28 August 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A2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Align on SPA for N75 genuine brake parts (volume-protection case + any ISZJ support)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ISZJ (Suzuki) + ISZE (Jerome) + ITUK (Duncan)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After A1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Confirm manual-transmission share of N75 park from vehicle sales history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 (Duncan Young)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ASAP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A4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Recalibrate coverage pack: 10-year park option; remove AdBlue; reflect air-filter logic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ISZE (Jerome)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Next working pack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Finalise Phase 1 part list / baseline per dealership and KPI dashboard approach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 (Duncan) with ISZE support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Before October go-live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A6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Schedule next Teams follow-up; explore October face-to-face / Belgium opportunity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TBD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6. Open points (not closed in the meeting)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Exact stretch % above the 1% headline once brake / filter baselines are known.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Final SPA approval criteria (turnover-only vs profit) — ISZE management decision.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Phase 2 external / N35 hook (past campaign with weak conversion — needs a strong commercial hook if revisited).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Precise BVP brake arrival date to dealers (production Dec / market ~Q1 2027).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7. Next meeting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Periodic Teams follow-up (suggested roughly quarterly).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Face-to-face opportunity in October 2026, or when ISZJ visits Belgium / ISZE.</w:t>
      </w:r>
    </w:p>
    <w:p>
      <w:r>
        <w:rPr>
          <w:rFonts w:ascii="Calibri" w:hAnsi="Calibri" w:eastAsia="Calibri"/>
          <w:b w:val="0"/>
          <w:i/>
          <w:color w:val="000000"/>
          <w:sz w:val="18"/>
        </w:rPr>
        <w:t>Draft prepared from the Teams transcript (ITUK-ISZE-ISZJ PMS Parts Sales Promotion Activities, recording 18 Aug 2026). ASR wording cleaned for readability. Titles from mailbox signatures / prior correspondence; please confirm any [TBC] before circulation.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