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ITUK PMS — Background &amp; Interval Structure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Meeting prep background — Model B headline, interval structure vs other distributors, ASC→DB and DB→DLR levels, N-Series pilot scope</w:t>
      </w:r>
    </w:p>
    <w:p>
      <w:pPr>
        <w:spacing w:after="32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Prepared 2026-07-22. Companion file: ISZE_ITUK_PMS_Interval_Model_2026-07-22.xlsx (same folder) — live formulas, edit assumptions there.</w:t>
      </w:r>
    </w:p>
    <w:p>
      <w:pPr>
        <w:pStyle w:val="Heading1"/>
        <w:spacing w:after="160" w:before="320"/>
      </w:pPr>
      <w:r>
        <w:t xml:space="preserve">Executive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ITUK runs on "Model B" (IML v7 schedule) — the ONE number set ITUK/IML have seen and signed off (2026-07-02). A separate "PRISM" lane exists for internal cross-distributor league tables only — never mix the two in front of ITUK.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N75 is confirmed as the phase-1 pilot vehicle by every ITUK document (Apr 2026 trip report, 27 Apr 2026 feedback deck). Brake + air filter = headline categories; clutch is explicitly excluded from phase-1.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You flagged that the pilot may be scoped to N-Series only (~11,000 vehicles), not the full 22,389 DVLA fleet Model B uses as its denominator. The vehicle count closest to 11,000 in the source data is actually N35 (10,900), not N75 (9,359) — the documented pilot vehicle. This is flagged, not resolved — worth confirming with ITUK directly (see §3).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ITUK and UTI (Israel) are the ONLY two of 18+ ISZE distributors with any distributor-specific interval data. Every other distributor runs an unsourced placeholder. ITUK’s special treatment has a real regulatory basis: UK O-Licence rules force mandatory safety inspections separate from service visits.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 companion Excel workbook rebuilds the whole calculation with live formulas — both the full 22,389-vehicle parc and an N-Series-only scenario, on both the ASC→DB and DB→DLR levels.</w:t>
      </w:r>
    </w:p>
    <w:p>
      <w:pPr>
        <w:pStyle w:val="Heading1"/>
        <w:spacing w:after="160" w:before="320"/>
      </w:pPr>
      <w:r>
        <w:t xml:space="preserve">1. Two lanes — which number to use where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workspace carries two different, both-correct ITUK PMS capture numbers, built on different denominators for different audiences. Quoting the wrong one in the wrong room is the single easiest way to look inconsistent on ITUK.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B / IML lane (external)</w:t>
            </w:r>
          </w:p>
        </w:tc>
        <w:tc>
          <w:tcPr>
            <w:tcW w:type="dxa" w:w="3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PRISM network lane (internal)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UIO denominator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22,389 — full DVLA parc, Mar 2026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23,068 — real cv_std/f_series bucket split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 frequency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Oil/Fuel/Air 1.25×/yr; Clutch/Brake 0.5×/yr</w:t>
            </w:r>
          </w:p>
        </w:tc>
        <w:tc>
          <w:tcPr>
            <w:tcW w:type="dxa" w:w="3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Global PRISM factors (0.5×/yr N75-blended)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Addressable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Oil-filter cover CY2025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35.1% (ISZE→DB) / 40.6% (DB→DLR)</w:t>
            </w:r>
          </w:p>
        </w:tc>
        <w:tc>
          <w:tcPr>
            <w:tcW w:type="dxa" w:w="3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~100-173% depending on year (uncapped)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for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IML business case, ITUK correspondence, external decks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PRISM league table, cross-distributor benchmarking only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Source: FACTS.md §1 / §1b, ITUK_PRISM_LANE_BRIDGE.md (C:\Users\jerom\Desktop\claude\ISZE\00_docs\ITUK_PRISM_LANE_BRIDGE.md)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Everything below uses the Model B lane — the one safe to bring into the room.</w:t>
      </w:r>
    </w:p>
    <w:p>
      <w:pPr>
        <w:pStyle w:val="Heading1"/>
        <w:spacing w:after="160" w:before="320"/>
      </w:pPr>
      <w:r>
        <w:t xml:space="preserve">2. N75 pilot scope — confirmed, with the vehicle-count question open</w:t>
      </w:r>
    </w:p>
    <w:p>
      <w:pPr>
        <w:pStyle w:val="Heading2"/>
        <w:spacing w:after="120" w:before="240"/>
      </w:pPr>
      <w:r>
        <w:t xml:space="preserve">What is confirmed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From the 27 April 2026 ITUK feedback deck, verbatim: "A focused N75 pilot is easier to validate, fund and measure than a broad N35/N75 activity."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50"/>
        <w:gridCol w:w="2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/ engine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Interval basis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Campaign role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N35.125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NLR87 / RZ4E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20,000 km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Secondary — service-reminder only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N35.150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NLR88 / 4JZ1</w:t>
            </w:r>
          </w:p>
        </w:tc>
        <w:tc>
          <w:tcPr>
            <w:tcW w:type="dxa" w:w="2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Flexible up to 40,000 km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Secondary — where customer data reliable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N75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NPR75 / 4HK1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40,000 km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 target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N75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NPR88 / 4JZ1</w:t>
            </w:r>
          </w:p>
        </w:tc>
        <w:tc>
          <w:tcPr>
            <w:tcW w:type="dxa" w:w="2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40,000 km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 target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Source: PMS_20Meeting_20Feedback_2027_04_2026.pdf, "Maintenance Interval Implications" — C:\Users\jerom\Desktop\claude\ISZE\01_data\03_PMS\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Headline categories = brake + air filter. Oil + fuel filter support the service pack but don’t lead the campaign. Clutch explicitly excluded from any broad phase-1 activity (VIN-specific manual opportunities only).</w:t>
      </w:r>
    </w:p>
    <w:p>
      <w:pPr>
        <w:pStyle w:val="Heading2"/>
        <w:spacing w:after="120" w:before="240"/>
      </w:pPr>
      <w:r>
        <w:t xml:space="preserve">What is NOT resolved — the ~11,000 vehicle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0603D" w:sz="16"/>
              <w:left w:val="single" w:color="C0603D" w:sz="16"/>
              <w:bottom w:val="single" w:color="C0603D" w:sz="16"/>
              <w:right w:val="single" w:color="C0603D" w:sz="16"/>
            </w:tcBorders>
            <w:shd w:fill="FBEE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4A2418"/>
                <w:sz w:val="20"/>
                <w:szCs w:val="20"/>
              </w:rPr>
              <w:t xml:space="preserve">You believe the pilot covers roughly 11,000 vehicles, not the full 22,389. The real, looked-up numbers (see companion Excel, "UIO Lookup" tab) show N35 alone = 10,900 vehicles (2024A) — the closest match to ~11,000. N75, the documented pilot vehicle, is 9,359 (2024A) to 9,506 (2025P), depending on method — noticeably below 11,000. This is a real discrepancy in the source material, not something I resolved by picking a number. Worth asking ITUK directly which vehicle count they actually mean.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Two independent sources were checked and reconciled: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2024A (DVLA actual)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2025P (forecast)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N35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10,900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11,444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N75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9,359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9,506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ITUK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22,389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23,068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Method A — cohort-survival model. Source: ISUZU_UIO_Overview_2026.xlsx, sheet "4. ITUK UIO Projection" — C:\Users\jerom\Desktop\claude\ISZE\06_uio\_CURRENT\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second method (PN-level scaling in the v7 PMS workbook) splits by engine generation and reconciles to the same 22,389 total: N35.125 (NLR87) = 11,923; N75 NPR75/4HK1 = 4,659; a shared N35.150+N75-NPR88 pool = 4,681; F-Series = 1,126. The full derivation and reconciliation is in the Excel workbook’s "UIO Lookup" tab.</w:t>
      </w:r>
    </w:p>
    <w:p>
      <w:pPr>
        <w:pStyle w:val="Heading1"/>
        <w:spacing w:after="160" w:before="320"/>
      </w:pPr>
      <w:r>
        <w:t xml:space="preserve">3. How ITUK’s interval assumption differs from every other distributor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Checked directly against the live config (pms_capture_assumptions.yaml, C:\Users\jerom\Desktop\claude\ISZE\03_analytics\Isuzu\prism\data\): ITUK and UTI are the only two of 18+ ISZE distributors with any distributor-specific interval data at all. Every other distributor runs a flat, unsourced placeholder (20,000 km/yr assumed mileage ÷ 40,000 km nominal interval).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700"/>
        <w:gridCol w:w="23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ITUK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UTI (Israel)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Everyone else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Mileage basis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50,000 km/yr (IML assumption, Model B)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50,000 km/yr — Jerome-confirmed real average, 2026-07-10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20,000 km/yr — unsourced guess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interval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40,000 km → 1.25×/yr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40,000 km → 1.25×/yr, copied from ITUK, not independently verified for Israel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40,000 km → 0.5×/yr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Brake interval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100,000 km → 0.4 factor (front+rear as one paired job)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global default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global default (0.5)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ITUK’s brake factor is deliberately not transferable to other markets. The config’s own comment (Jerome, 2026-07-14) notes UK O-Licence rules force mandatory regular safety inspections separate from service visits — a real regulatory driver most other markets don’t share. That’s a legitimate answer if IML asks why ITUK gets a special number.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One open item on that 0.4 figure: still unresolved whether it should be 0.4 or 0.8 (does one paired brake job consume a pad set per axle, or per vehicle?). A units question, needs IML, currently unmeasured.</w:t>
      </w:r>
    </w:p>
    <w:p>
      <w:pPr>
        <w:pStyle w:val="Heading1"/>
        <w:spacing w:after="160" w:before="320"/>
      </w:pPr>
      <w:r>
        <w:t xml:space="preserve">4. ASC→DB and DB→DLR — full parc (all 22,389 vehicles)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ASC = ISZE (the European aftersales hub). DB = ITUK. DLR = ITUK’s dealer network. Both levels use the same UIO, mileage and IML frequency assumptions — only the actual-sales source changes.</w:t>
      </w:r>
    </w:p>
    <w:p>
      <w:pPr>
        <w:pStyle w:val="Heading2"/>
        <w:spacing w:after="120" w:before="240"/>
      </w:pPr>
      <w:r>
        <w:t xml:space="preserve">ASC → DB (ISZE → ITUK, Model B headline — FACTS.md §1)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450"/>
        <w:gridCol w:w="3450"/>
      </w:tblGrid>
      <w:tr>
        <w:trPr>
          <w:tblHeader/>
        </w:trPr>
        <w:tc>
          <w:tcPr>
            <w:tcW w:type="dxa" w:w="3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 ratio</w:t>
            </w:r>
          </w:p>
        </w:tc>
        <w:tc>
          <w:tcPr>
            <w:tcW w:type="dxa" w:w="3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gap (€)</w:t>
            </w:r>
          </w:p>
        </w:tc>
      </w:tr>
      <w:tr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Oil filter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35.1%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140,622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Fuel filter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65.1%</w:t>
            </w:r>
          </w:p>
        </w:tc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127,443</w:t>
            </w:r>
          </w:p>
        </w:tc>
      </w:tr>
      <w:tr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Air filter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13.2%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736,116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Clutch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7.8%</w:t>
            </w:r>
          </w:p>
        </w:tc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391,525</w:t>
            </w:r>
          </w:p>
        </w:tc>
      </w:tr>
      <w:tr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Brake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35.3%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641,814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36.0%</w:t>
            </w:r>
          </w:p>
        </w:tc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2,037,520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Weighted total cover per FACTS.md is 35.9% / €2,038,471 — the ~€1K difference here is live-formula rounding vs the source workbook’s stored figures (documented in the Excel README tab).</w:t>
      </w:r>
    </w:p>
    <w:p>
      <w:pPr>
        <w:pStyle w:val="Heading2"/>
        <w:spacing w:after="120" w:before="240"/>
      </w:pPr>
      <w:r>
        <w:t xml:space="preserve">DB → DLR (ITUK → Dealer, WS2025 workshop-sales data)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450"/>
        <w:gridCol w:w="3450"/>
      </w:tblGrid>
      <w:tr>
        <w:trPr>
          <w:tblHeader/>
        </w:trPr>
        <w:tc>
          <w:tcPr>
            <w:tcW w:type="dxa" w:w="3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 ratio</w:t>
            </w:r>
          </w:p>
        </w:tc>
        <w:tc>
          <w:tcPr>
            <w:tcW w:type="dxa" w:w="3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gap (€)</w:t>
            </w:r>
          </w:p>
        </w:tc>
      </w:tr>
      <w:tr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Oil filter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40.6%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133,539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Fuel filter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65.8%</w:t>
            </w:r>
          </w:p>
        </w:tc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125,320</w:t>
            </w:r>
          </w:p>
        </w:tc>
      </w:tr>
      <w:tr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Air filter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13.6%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729,302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Clutch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10.9%</w:t>
            </w:r>
          </w:p>
        </w:tc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419,971</w:t>
            </w:r>
          </w:p>
        </w:tc>
      </w:tr>
      <w:tr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Brake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35.6%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639,245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37.9%</w:t>
            </w:r>
          </w:p>
        </w:tc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2,047,378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DLR-level cover reads a few points higher across every category — dealers report slightly more genuine-parts activity than reconciles through ISZE’s own SAP extract (timing/scope difference, not a capture failure at either stage).</w:t>
      </w:r>
    </w:p>
    <w:p>
      <w:pPr>
        <w:pStyle w:val="Heading1"/>
        <w:spacing w:after="160" w:before="320"/>
      </w:pPr>
      <w:r>
        <w:t xml:space="preserve">5. ASC→DB and DB→DLR — N-Series scenario (pilot scope)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Same calculation, UIO rescoped to N75 only (9,359 vehicles, 2024A) — the documented pilot vehicle. If ITUK confirms the pilot is actually N35 (10,900) or N35+N75 combined, swap the scenario cell in the Excel workbook’s "UIO Lookup" tab and every number below updates.</w:t>
      </w:r>
    </w:p>
    <w:p>
      <w:pPr>
        <w:pStyle w:val="Heading2"/>
        <w:spacing w:after="120" w:before="240"/>
      </w:pPr>
      <w:r>
        <w:t xml:space="preserve">DB → DLR N-Series (real bottom-up split — PN-level WS2025 data, not estimated)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450"/>
        <w:gridCol w:w="3450"/>
      </w:tblGrid>
      <w:tr>
        <w:trPr>
          <w:tblHeader/>
        </w:trPr>
        <w:tc>
          <w:tcPr>
            <w:tcW w:type="dxa" w:w="3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 ratio</w:t>
            </w:r>
          </w:p>
        </w:tc>
        <w:tc>
          <w:tcPr>
            <w:tcW w:type="dxa" w:w="3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gap (€)</w:t>
            </w:r>
          </w:p>
        </w:tc>
      </w:tr>
      <w:tr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Oil filter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46.2%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48,721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Fuel filter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95.2%</w:t>
            </w:r>
          </w:p>
        </w:tc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7,310</w:t>
            </w:r>
          </w:p>
        </w:tc>
      </w:tr>
      <w:tr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Air filter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19.6%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285,115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Clutch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15.5%</w:t>
            </w:r>
          </w:p>
        </w:tc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150,088</w:t>
            </w:r>
          </w:p>
        </w:tc>
      </w:tr>
      <w:tr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Brake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62.5%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155,679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52.6%</w:t>
            </w:r>
          </w:p>
        </w:tc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646,914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This split is real: each of the 53 PMS part numbers carries a genuine model tag (N35 / N75 / shared / F-Series) in the source workbook’s PN-level sheet.</w:t>
      </w:r>
    </w:p>
    <w:p>
      <w:pPr>
        <w:pStyle w:val="Heading2"/>
        <w:spacing w:after="120" w:before="240"/>
      </w:pPr>
      <w:r>
        <w:t xml:space="preserve">ASC → DB N-Series (ESTIMATED — see caveat)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450"/>
        <w:gridCol w:w="3450"/>
      </w:tblGrid>
      <w:tr>
        <w:trPr>
          <w:tblHeader/>
        </w:trPr>
        <w:tc>
          <w:tcPr>
            <w:tcW w:type="dxa" w:w="3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 ratio</w:t>
            </w:r>
          </w:p>
        </w:tc>
        <w:tc>
          <w:tcPr>
            <w:tcW w:type="dxa" w:w="3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gap (€)</w:t>
            </w:r>
          </w:p>
        </w:tc>
      </w:tr>
      <w:tr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Oil filter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39.9%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54,377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Fuel filter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94.2%</w:t>
            </w:r>
          </w:p>
        </w:tc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8,850</w:t>
            </w:r>
          </w:p>
        </w:tc>
      </w:tr>
      <w:tr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Air filter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19.0%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287,033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Clutch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11.0%</w:t>
            </w:r>
          </w:p>
        </w:tc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157,950</w:t>
            </w:r>
          </w:p>
        </w:tc>
      </w:tr>
      <w:tr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Brake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62.0%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157,501</w:t>
            </w:r>
          </w:p>
        </w:tc>
      </w:tr>
      <w:tr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50.2%</w:t>
            </w:r>
          </w:p>
        </w:tc>
        <w:tc>
          <w:tcPr>
            <w:tcW w:type="dxa" w:w="3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665,711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0603D" w:sz="16"/>
              <w:left w:val="single" w:color="C0603D" w:sz="16"/>
              <w:bottom w:val="single" w:color="C0603D" w:sz="16"/>
              <w:right w:val="single" w:color="C0603D" w:sz="16"/>
            </w:tcBorders>
            <w:shd w:fill="FBEE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4A2418"/>
                <w:sz w:val="20"/>
                <w:szCs w:val="20"/>
              </w:rPr>
              <w:t xml:space="preserve">ISZE’s SAP billing has no PN-level model tag, so there is no real way to split ISZE-level actuals by N35/N75/F-Series directly. This table estimates them by applying the REAL N-Series share observed at DLR level (table above) to the ASC-level full-park actual. Treat these five numbers as directional — not something to quote externally without this caveat.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Both N-Series scenarios show materially better cover than the full-fleet blend (52.6% / 50.2% total vs 37.9% / 36.0%) — consistent with the phase-1 campaign actually working better on its target segment than on the network average.</w:t>
      </w:r>
    </w:p>
    <w:p>
      <w:pPr>
        <w:pStyle w:val="Heading1"/>
        <w:spacing w:after="160" w:before="320"/>
      </w:pPr>
      <w:r>
        <w:t xml:space="preserve">6. Open methodology gaps worth raising with ITUK</w:t>
      </w:r>
    </w:p>
    <w:p>
      <w:pPr>
        <w:pStyle w:val="Heading2"/>
        <w:spacing w:after="120" w:before="240"/>
      </w:pPr>
      <w:r>
        <w:t xml:space="preserve">6.1 — N35 mileage contradiction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Model B applies one blanket mileage assumption — 50,000 km/yr — to the entire 22,389-vehicle fleet, including N35. But the April 2026 trip’s own MOT-verified recalculation found real N35 mileage of 11,576 mi/yr ≈ 18,626 km/yr — less than half the modelled figure. The trip report explicitly says "model must move to per-model mileage, not single network average," but the 27 April deck and the current Assumptions tab still use the flat 50,000 km/yr for every segment.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Net effect: Model B likely overstates N35 expected demand (understating N35 capture %), while N75 has never been checked against 50,000 km/yr either way.</w:t>
      </w:r>
    </w:p>
    <w:p>
      <w:pPr>
        <w:pStyle w:val="Heading2"/>
        <w:spacing w:after="120" w:before="240"/>
      </w:pPr>
      <w:r>
        <w:t xml:space="preserve">6.2 — Generation mix unknown (MY14 vs MY24)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Real OEM interval data (GIDSS documents) shows N75/4HK1 has two generations on very different intervals: MY14 = 22,500 km / 14 months; MY24 = up to 40,000 km / 12 months (~1.8× apart). Both Model B and the campaign deck use a flat 40,000 km, correct only for MY24 trucks. No data exists anywhere on what share of ITUK’s N75 parc is still MY14 — worth asking for a registration-year cut.</w:t>
      </w:r>
    </w:p>
    <w:p>
      <w:pPr>
        <w:pStyle w:val="Heading2"/>
        <w:spacing w:after="120" w:before="240"/>
      </w:pPr>
      <w:r>
        <w:t xml:space="preserve">6.3 — PN-level ISZE-billing split unavailable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The workbook labelled "ISZE→ITUK (PN Level)" actually carries WS2025 (dealer-reported) data at PN granularity, not true ISZE SAP-billing data split by part number — confirmed by its own note ("PN-level ISZE actuals not available"). This is why the ASC→DB N-Series table above is an estimate rather than a direct figure.</w:t>
      </w:r>
    </w:p>
    <w:p>
      <w:pPr>
        <w:pStyle w:val="Heading1"/>
        <w:spacing w:after="160" w:before="320"/>
      </w:pPr>
      <w:r>
        <w:t xml:space="preserve">7. Commercial context likely to come up</w:t>
      </w:r>
    </w:p>
    <w:p>
      <w:pPr>
        <w:pStyle w:val="Heading2"/>
        <w:spacing w:after="120" w:before="240"/>
      </w:pPr>
      <w:r>
        <w:t xml:space="preserve">Brake IAM pricing gap — the single most commercially significant finding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KS International aftermarket brake parts are approximately 60–75% below ITUK wholesale pricing (examples from Warrington Vehicle Centre and JDS Trucks, April 2026 visit). JDS already runs a 9% average retail discount vs RRP — margin compression is already happening. Agreed objective with ITUK: close the gap, don’t raise prices.</w:t>
      </w:r>
    </w:p>
    <w:p>
      <w:pPr>
        <w:pStyle w:val="Heading2"/>
        <w:spacing w:after="120" w:before="240"/>
      </w:pPr>
      <w:r>
        <w:t xml:space="preserve">SPA exploration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ISZE/IML "explore potential SPA for critical parts lines" remains an open action item from the April trip (owner ISZE/IML, target TBC).</w:t>
      </w:r>
    </w:p>
    <w:p>
      <w:pPr>
        <w:pStyle w:val="Heading2"/>
        <w:spacing w:after="120" w:before="240"/>
      </w:pPr>
      <w:r>
        <w:t xml:space="preserve">2030 growth-target kickback (GBP, ITUK-retail level — separate from the EUR PR00 figures above)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550"/>
      </w:tblGrid>
      <w:tr>
        <w:trPr>
          <w:tblHeader/>
        </w:trPr>
        <w:tc>
          <w:tcPr>
            <w:tcW w:type="dxa" w:w="5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2025 actual (baseline)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£12.87m</w:t>
            </w:r>
          </w:p>
        </w:tc>
      </w:tr>
      <w:tr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 plan (77% of UIO opportunity)</w:t>
            </w:r>
          </w:p>
        </w:tc>
        <w:tc>
          <w:tcPr>
            <w:tcW w:type="dxa" w:w="3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£13.13m</w:t>
            </w:r>
          </w:p>
        </w:tc>
      </w:tr>
      <w:tr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 stretch (80%, +£508,758)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£13.64m</w:t>
            </w:r>
          </w:p>
        </w:tc>
      </w:tr>
      <w:tr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ISZE gross profit on stretch</w:t>
            </w:r>
          </w:p>
        </w:tc>
        <w:tc>
          <w:tcPr>
            <w:tcW w:type="dxa" w:w="3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£124,104</w:t>
            </w:r>
          </w:p>
        </w:tc>
      </w:tr>
      <w:tr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ITUK kickback (half of GP, dealer-incentive pot)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£62,052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1"/>
          <w:szCs w:val="21"/>
        </w:rPr>
        <w:t xml:space="preserve">Kickback released only if the UK dealer network collectively delivers the £508,758 stretch. Source: PMS_20Meeting_20Feedback_2027_04_2026.pdf, "2030 Growth Target Incentive".</w:t>
      </w:r>
    </w:p>
    <w:p>
      <w:pPr>
        <w:pStyle w:val="Heading1"/>
        <w:spacing w:after="160" w:before="320"/>
      </w:pPr>
      <w:r>
        <w:t xml:space="preserve">8. Source files (full paths)</w:t>
      </w:r>
    </w:p>
    <w:p>
      <w:pPr>
        <w:spacing w:after="6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C:\Users\jerom\Desktop\claude\ISZE\03_analytics\Isuzu\pms-pilot\ITUK_PMS_Analysis_Apr2026_v7_reclassified.xlsx — Model B source workbook (ISZE→ITUK and ITUK→DLR, General + PN Level)</w:t>
      </w:r>
    </w:p>
    <w:p>
      <w:pPr>
        <w:spacing w:after="6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C:\Users\jerom\Desktop\claude\ISZE\FACTS.md — §1 (Model B) and §1b (PRISM lane)</w:t>
      </w:r>
    </w:p>
    <w:p>
      <w:pPr>
        <w:spacing w:after="6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C:\Users\jerom\Desktop\claude\ISZE\03_analytics\Isuzu\prism\data\iml_v7_ituk_cy2025.yaml — Model B canonical constants</w:t>
      </w:r>
    </w:p>
    <w:p>
      <w:pPr>
        <w:spacing w:after="6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C:\Users\jerom\Desktop\claude\ISZE\03_analytics\Isuzu\prism\data\pms_capture_assumptions.yaml — country_overrides (ITUK/UTI)</w:t>
      </w:r>
    </w:p>
    <w:p>
      <w:pPr>
        <w:spacing w:after="6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C:\Users\jerom\Desktop\claude\ISZE\06_uio\_CURRENT\ISUZU_UIO_Overview_2026.xlsx — sheet "4. ITUK UIO Projection" (cohort-survival UIO model)</w:t>
      </w:r>
    </w:p>
    <w:p>
      <w:pPr>
        <w:spacing w:after="6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C:\Users\jerom\Desktop\claude\ISZE\01_data\03_PMS\ISZE_ITUK_PMS_TripReport_Apr2026_revised (1).docx — April 2026 trip report</w:t>
      </w:r>
    </w:p>
    <w:p>
      <w:pPr>
        <w:spacing w:after="6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C:\Users\jerom\Desktop\claude\ISZE\01_data\03_PMS\PMS_20Meeting_20Feedback_2027_04_2026.pdf — 27 April 2026 ITUK feedback deck</w:t>
      </w:r>
    </w:p>
    <w:p>
      <w:pPr>
        <w:spacing w:after="6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C:\Users\jerom\Desktop\claude\ISZE\01_data\03_PMS\ISZE_ITUK_PMS_Interval_Model_2026-07-22.xlsx — companion live-formula workbook (this document’s numbers)</w:t>
      </w:r>
    </w:p>
    <w:p>
      <w:pPr>
        <w:spacing w:after="6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C:\Users\jerom\Desktop\claude\ISZE\00_docs\ITUK_PRISM_LANE_BRIDGE.md — Model B vs PRISM lane explainer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ISZE / JVdP — 2026-07-22 —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ITUK PMS — Background for Meeting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72C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2026-07-22T04:33:41.808Z</dcterms:created>
  <dcterms:modified xsi:type="dcterms:W3CDTF">2026-07-22T04:33:41.810Z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