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Arial" w:cs="Arial" w:eastAsia="Arial" w:hAnsi="Arial"/>
          <w:b/>
          <w:bCs/>
          <w:color w:val="1F3864"/>
          <w:sz w:val="42"/>
          <w:szCs w:val="42"/>
        </w:rPr>
        <w:t xml:space="preserve">MATRIZ DE CLASIFICACIÓN</w:t>
      </w:r>
    </w:p>
    <w:p>
      <w:pPr>
        <w:spacing w:after="0"/>
        <w:jc w:val="center"/>
      </w:pPr>
      <w:r>
        <w:rPr>
          <w:rFonts w:ascii="Arial" w:cs="Arial" w:eastAsia="Arial" w:hAnsi="Arial"/>
          <w:b/>
          <w:bCs/>
          <w:color w:val="1F3864"/>
          <w:sz w:val="42"/>
          <w:szCs w:val="42"/>
        </w:rPr>
        <w:t xml:space="preserve">FISCAL DE LA REFORMA — v3</w:t>
      </w:r>
    </w:p>
    <w:p>
      <w:pPr>
        <w:spacing w:after="0" w:before="40"/>
        <w:jc w:val="center"/>
      </w:pPr>
      <w:r>
        <w:rPr>
          <w:rFonts w:ascii="Arial" w:cs="Arial" w:eastAsia="Arial" w:hAnsi="Arial"/>
          <w:b/>
          <w:bCs/>
          <w:color w:val="2E7D32"/>
          <w:sz w:val="21"/>
          <w:szCs w:val="21"/>
        </w:rPr>
        <w:t xml:space="preserve">Con clasificación OBRAMAT línea a línea (4 facturas reales)</w:t>
      </w:r>
    </w:p>
    <w:p>
      <w:pPr>
        <w:spacing w:after="0" w:before="100"/>
        <w:jc w:val="center"/>
      </w:pPr>
      <w:r>
        <w:rPr>
          <w:rFonts w:ascii="Arial" w:cs="Arial" w:eastAsia="Arial" w:hAnsi="Arial"/>
          <w:b/>
          <w:bCs/>
          <w:color w:val="2E75B6"/>
          <w:sz w:val="20"/>
          <w:szCs w:val="20"/>
        </w:rPr>
        <w:t xml:space="preserve">Reparación (art. 13 RIRPF) · Mejora amortizable (art. 14 RIRPF) · Mobiliario (10%)</w:t>
      </w:r>
    </w:p>
    <w:p>
      <w:pPr>
        <w:spacing w:after="420" w:before="40"/>
        <w:jc w:val="center"/>
      </w:pPr>
      <w:r>
        <w:rPr>
          <w:rFonts w:ascii="Arial" w:cs="Arial" w:eastAsia="Arial" w:hAnsi="Arial"/>
          <w:i/>
          <w:iCs/>
          <w:color w:val="555555"/>
          <w:sz w:val="20"/>
          <w:szCs w:val="20"/>
        </w:rPr>
        <w:t xml:space="preserve">Criterio prudente · máxima probabilidad de no sufrir ajuste</w:t>
      </w:r>
    </w:p>
    <w:p>
      <w:pPr>
        <w:spacing w:after="40" w:before="160"/>
        <w:jc w:val="center"/>
      </w:pPr>
      <w:r>
        <w:rPr>
          <w:rFonts w:ascii="Arial" w:cs="Arial" w:eastAsia="Arial" w:hAnsi="Arial"/>
          <w:sz w:val="22"/>
          <w:szCs w:val="22"/>
        </w:rPr>
        <w:t xml:space="preserve">Jerónimo Molina Caparrós · NIF 76631414Z</w:t>
      </w:r>
    </w:p>
    <w:p>
      <w:pPr>
        <w:spacing w:after="40"/>
        <w:jc w:val="center"/>
      </w:pPr>
      <w:r>
        <w:rPr>
          <w:rFonts w:ascii="Arial" w:cs="Arial" w:eastAsia="Arial" w:hAnsi="Arial"/>
          <w:color w:val="555555"/>
          <w:sz w:val="20"/>
          <w:szCs w:val="20"/>
        </w:rPr>
        <w:t xml:space="preserve">C/ Menéndez Pidal 52, Es. E, Pl. 3, Pta. 2 — 04009 Almería · RC 9383002WF4798S0058SY</w:t>
      </w:r>
    </w:p>
    <w:p>
      <w:pPr>
        <w:spacing w:after="40"/>
        <w:jc w:val="center"/>
      </w:pPr>
      <w:r>
        <w:rPr>
          <w:rFonts w:ascii="Arial" w:cs="Arial" w:eastAsia="Arial" w:hAnsi="Arial"/>
          <w:color w:val="555555"/>
          <w:sz w:val="20"/>
          <w:szCs w:val="20"/>
        </w:rPr>
        <w:t xml:space="preserve">Pool reforma 22.487,09 € + mobiliario 1.736,12 € = 24.223,21 € · Junio 2026</w:t>
      </w:r>
    </w:p>
    <w:p>
      <w:pPr>
        <w:spacing w:after="0" w:before="340"/>
        <w:jc w:val="center"/>
      </w:pPr>
      <w:r>
        <w:rPr>
          <w:rFonts w:ascii="Arial" w:cs="Arial" w:eastAsia="Arial" w:hAnsi="Arial"/>
          <w:b/>
          <w:bCs/>
          <w:color w:val="2E7D32"/>
          <w:sz w:val="18"/>
          <w:szCs w:val="18"/>
        </w:rPr>
        <w:t xml:space="preserve">Acompaña al Excel: Anexo_OBRAMAT_Clasificacion_Linea_a_Linea.xlsx</w:t>
      </w:r>
    </w:p>
    <w:p>
      <w:pPr>
        <w:pageBreakBefore/>
      </w:pPr>
    </w:p>
    <w:p>
      <w:pPr>
        <w:pStyle w:val="Heading1"/>
      </w:pPr>
      <w:r>
        <w:rPr>
          <w:rFonts w:ascii="Arial" w:cs="Arial" w:eastAsia="Arial" w:hAnsi="Arial"/>
          <w:b/>
          <w:bCs/>
          <w:color w:val="1F3864"/>
          <w:sz w:val="26"/>
          <w:szCs w:val="26"/>
        </w:rPr>
        <w:t xml:space="preserve">Veredicto: actualizar a v3</w:t>
      </w:r>
    </w:p>
    <w:p>
      <w:pPr>
        <w:shd w:fill="FCE4D6" w:val="clear"/>
        <w:spacing w:after="130" w:before="0" w:line="276"/>
      </w:pPr>
      <w:r>
        <w:rPr>
          <w:rFonts w:ascii="Arial" w:cs="Arial" w:eastAsia="Arial" w:hAnsi="Arial"/>
          <w:b/>
          <w:bCs/>
          <w:sz w:val="22"/>
          <w:szCs w:val="22"/>
        </w:rPr>
        <w:t xml:space="preserve">La clasificación línea a línea confirma el reparto estimado y mejora sustancialmente la defensa.</w:t>
      </w:r>
      <w:r>
        <w:rPr>
          <w:rFonts w:ascii="Arial" w:cs="Arial" w:eastAsia="Arial" w:hAnsi="Arial"/>
          <w:sz w:val="22"/>
          <w:szCs w:val="22"/>
        </w:rPr>
        <w:t xml:space="preserve"> Recomendación: adoptar la v3.</w:t>
      </w:r>
    </w:p>
    <w:p>
      <w:pPr>
        <w:spacing w:after="130" w:before="0" w:line="276"/>
      </w:pPr>
      <w:r>
        <w:rPr>
          <w:rFonts w:ascii="Arial" w:cs="Arial" w:eastAsia="Arial" w:hAnsi="Arial"/>
          <w:sz w:val="22"/>
          <w:szCs w:val="22"/>
        </w:rPr>
        <w:t xml:space="preserve">La revisión material por material de las cuatro facturas reales arroja un </w:t>
      </w:r>
      <w:r>
        <w:rPr>
          <w:rFonts w:ascii="Arial" w:cs="Arial" w:eastAsia="Arial" w:hAnsi="Arial"/>
          <w:b/>
          <w:bCs/>
          <w:sz w:val="22"/>
          <w:szCs w:val="22"/>
        </w:rPr>
        <w:t xml:space="preserve">21,9% reparación / 78,1% mejora</w:t>
      </w:r>
      <w:r>
        <w:rPr>
          <w:rFonts w:ascii="Arial" w:cs="Arial" w:eastAsia="Arial" w:hAnsi="Arial"/>
          <w:sz w:val="22"/>
          <w:szCs w:val="22"/>
        </w:rPr>
        <w:t xml:space="preserve"> sobre OBRAMAT, prácticamente idéntico al 25/75 estimado en la v2 (ligeramente más cargado a mejora, lo cual es coherente porque la factura grande está dominada por pladur, suelo y carpintería). El reparto global del pool apenas se mueve (de 37,3/62,7 a 36,6/63,4) y el efecto fiscal de 2024 es idéntico. Lo que cambia de verdad es el </w:t>
      </w:r>
      <w:r>
        <w:rPr>
          <w:rFonts w:ascii="Arial" w:cs="Arial" w:eastAsia="Arial" w:hAnsi="Arial"/>
          <w:b/>
          <w:bCs/>
          <w:sz w:val="22"/>
          <w:szCs w:val="22"/>
        </w:rPr>
        <w:t xml:space="preserve">grado de prueba</w:t>
      </w:r>
      <w:r>
        <w:rPr>
          <w:rFonts w:ascii="Arial" w:cs="Arial" w:eastAsia="Arial" w:hAnsi="Arial"/>
          <w:sz w:val="22"/>
          <w:szCs w:val="22"/>
        </w:rPr>
        <w:t xml:space="preserve">: el reparto de materiales pasa de ser una estimación (confianza media-baja) a estar soportado factura a factura (el único flanco débil del expediente queda cerrado).</w:t>
      </w:r>
    </w:p>
    <w:p>
      <w:pPr>
        <w:pStyle w:val="Heading1"/>
      </w:pPr>
      <w:r>
        <w:rPr>
          <w:rFonts w:ascii="Arial" w:cs="Arial" w:eastAsia="Arial" w:hAnsi="Arial"/>
          <w:b/>
          <w:bCs/>
          <w:color w:val="1F3864"/>
          <w:sz w:val="26"/>
          <w:szCs w:val="26"/>
        </w:rPr>
        <w:t xml:space="preserve">1. Cambios respecto a la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Concepto</w:t>
            </w:r>
          </w:p>
        </w:tc>
        <w:tc>
          <w:tcPr>
            <w:tcW w:type="dxa" w:w="20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v2 (estimado)</w:t>
            </w:r>
          </w:p>
        </w:tc>
        <w:tc>
          <w:tcPr>
            <w:tcW w:type="dxa" w:w="20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v3 (línea a línea)</w:t>
            </w:r>
          </w:p>
        </w:tc>
        <w:tc>
          <w:tcPr>
            <w:tcW w:type="dxa" w:w="20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Variación</w:t>
            </w:r>
          </w:p>
        </w:tc>
      </w:tr>
      <w:tr>
        <w:tc>
          <w:tcPr>
            <w:tcW w:type="dxa" w:w="3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Pool OBRAMAT</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6.616,95 €</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6.152,09 €</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−464,86 €</w:t>
            </w:r>
          </w:p>
        </w:tc>
      </w:tr>
      <w:tr>
        <w:tc>
          <w:tcPr>
            <w:tcW w:type="dxa" w:w="3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  (motivo)</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8 facturas</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 facturas aportadas</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satélites no aportados</w:t>
            </w:r>
          </w:p>
        </w:tc>
      </w:tr>
      <w:tr>
        <w:tc>
          <w:tcPr>
            <w:tcW w:type="dxa" w:w="3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Termo</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implícito</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109,00 € fuera (explícito)</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sale del cómputo</w:t>
            </w:r>
          </w:p>
        </w:tc>
      </w:tr>
      <w:tr>
        <w:tc>
          <w:tcPr>
            <w:tcW w:type="dxa" w:w="3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OBRAMAT reparación</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1.654,24 € (25%)</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1.325,12 € (21,9%)</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−329,12 €</w:t>
            </w:r>
          </w:p>
        </w:tc>
      </w:tr>
      <w:tr>
        <w:tc>
          <w:tcPr>
            <w:tcW w:type="dxa" w:w="3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OBRAMAT mejora</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4.962,71 € (75%)</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4.717,97 € (78,1%)</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−244,74 €</w:t>
            </w:r>
          </w:p>
        </w:tc>
      </w:tr>
      <w:tr>
        <w:tc>
          <w:tcPr>
            <w:tcW w:type="dxa" w:w="3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**Pool reforma</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**22.951,95 €</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**22.487,09 €</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**−464,86 €</w:t>
            </w:r>
          </w:p>
        </w:tc>
      </w:tr>
      <w:tr>
        <w:tc>
          <w:tcPr>
            <w:tcW w:type="dxa" w:w="3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**Reparación total</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**8.554,24 € (37,3%)</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**8.225,12 € (36,6%)</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**−329,12 €</w:t>
            </w:r>
          </w:p>
        </w:tc>
      </w:tr>
      <w:tr>
        <w:tc>
          <w:tcPr>
            <w:tcW w:type="dxa" w:w="3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**Mejora total</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**14.397,71 € (62,7%)</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**14.152,97 € (63,4%)</w:t>
            </w:r>
          </w:p>
        </w:tc>
        <w:tc>
          <w:tcPr>
            <w:tcW w:type="dxa" w:w="2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**−244,74 €</w:t>
            </w:r>
          </w:p>
        </w:tc>
      </w:tr>
      <w:tr>
        <w:tc>
          <w:tcPr>
            <w:tcW w:type="dxa" w:w="336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Confianza reparto OBRAMAT</w:t>
            </w:r>
          </w:p>
        </w:tc>
        <w:tc>
          <w:tcPr>
            <w:tcW w:type="dxa" w:w="20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right"/>
            </w:pPr>
            <w:r>
              <w:rPr>
                <w:rFonts w:ascii="Arial" w:cs="Arial" w:eastAsia="Arial" w:hAnsi="Arial"/>
                <w:sz w:val="16"/>
                <w:szCs w:val="16"/>
              </w:rPr>
              <w:t xml:space="preserve">Media-baja</w:t>
            </w:r>
          </w:p>
        </w:tc>
        <w:tc>
          <w:tcPr>
            <w:tcW w:type="dxa" w:w="20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right"/>
            </w:pPr>
            <w:r>
              <w:rPr>
                <w:rFonts w:ascii="Arial" w:cs="Arial" w:eastAsia="Arial" w:hAnsi="Arial"/>
                <w:sz w:val="16"/>
                <w:szCs w:val="16"/>
              </w:rPr>
              <w:t xml:space="preserve">Media / Alta</w:t>
            </w:r>
          </w:p>
        </w:tc>
        <w:tc>
          <w:tcPr>
            <w:tcW w:type="dxa" w:w="20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right"/>
            </w:pPr>
            <w:r>
              <w:rPr>
                <w:rFonts w:ascii="Arial" w:cs="Arial" w:eastAsia="Arial" w:hAnsi="Arial"/>
                <w:sz w:val="16"/>
                <w:szCs w:val="16"/>
              </w:rPr>
              <w:t xml:space="preserve">mejora</w:t>
            </w:r>
          </w:p>
        </w:tc>
      </w:tr>
    </w:tbl>
    <w:p>
      <w:pPr>
        <w:spacing w:after="130" w:before="60" w:line="276"/>
      </w:pPr>
      <w:r>
        <w:rPr>
          <w:rFonts w:ascii="Arial" w:cs="Arial" w:eastAsia="Arial" w:hAnsi="Arial"/>
          <w:b/>
          <w:bCs/>
          <w:sz w:val="22"/>
          <w:szCs w:val="22"/>
        </w:rPr>
        <w:t xml:space="preserve">Criterio fiscal final:</w:t>
      </w:r>
      <w:r>
        <w:rPr>
          <w:rFonts w:ascii="Arial" w:cs="Arial" w:eastAsia="Arial" w:hAnsi="Arial"/>
          <w:sz w:val="22"/>
          <w:szCs w:val="22"/>
        </w:rPr>
        <w:t xml:space="preserve"> no cambia. Sigue siendo el reparto prudente que respeta el certificado del contratista y clasifica el suelo como mejora. </w:t>
      </w:r>
      <w:r>
        <w:rPr>
          <w:rFonts w:ascii="Arial" w:cs="Arial" w:eastAsia="Arial" w:hAnsi="Arial"/>
          <w:b/>
          <w:bCs/>
          <w:sz w:val="22"/>
          <w:szCs w:val="22"/>
        </w:rPr>
        <w:t xml:space="preserve">Riesgo:</w:t>
      </w:r>
      <w:r>
        <w:rPr>
          <w:rFonts w:ascii="Arial" w:cs="Arial" w:eastAsia="Arial" w:hAnsi="Arial"/>
          <w:sz w:val="22"/>
          <w:szCs w:val="22"/>
        </w:rPr>
        <w:t xml:space="preserve"> baja, porque el reparto de materiales ya no es estimativo. La reducción de ~329 € de reparación y ~245 € de base de mejora es trivial frente al valor probatorio de tener cada línea clasificada.</w:t>
      </w:r>
    </w:p>
    <w:p>
      <w:pPr>
        <w:pStyle w:val="Heading1"/>
      </w:pPr>
      <w:r>
        <w:rPr>
          <w:rFonts w:ascii="Arial" w:cs="Arial" w:eastAsia="Arial" w:hAnsi="Arial"/>
          <w:b/>
          <w:bCs/>
          <w:color w:val="1F3864"/>
          <w:sz w:val="26"/>
          <w:szCs w:val="26"/>
        </w:rPr>
        <w:t xml:space="preserve">2. Resumen por factura OBRAMAT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00"/>
        <w:gridCol w:w="1400"/>
        <w:gridCol w:w="1400"/>
        <w:gridCol w:w="1180"/>
        <w:gridCol w:w="1360"/>
      </w:tblGrid>
      <w:tr>
        <w:trPr>
          <w:tblHeader/>
        </w:trPr>
        <w:tc>
          <w:tcPr>
            <w:tcW w:type="dxa" w:w="252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Factura / pedido</w:t>
            </w:r>
          </w:p>
        </w:tc>
        <w:tc>
          <w:tcPr>
            <w:tcW w:type="dxa" w:w="15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Total TTI</w:t>
            </w:r>
          </w:p>
        </w:tc>
        <w:tc>
          <w:tcPr>
            <w:tcW w:type="dxa" w:w="14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Reparación</w:t>
            </w:r>
          </w:p>
        </w:tc>
        <w:tc>
          <w:tcPr>
            <w:tcW w:type="dxa" w:w="14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Mejora</w:t>
            </w:r>
          </w:p>
        </w:tc>
        <w:tc>
          <w:tcPr>
            <w:tcW w:type="dxa" w:w="118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Fuera</w:t>
            </w:r>
          </w:p>
        </w:tc>
        <w:tc>
          <w:tcPr>
            <w:tcW w:type="dxa" w:w="136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Rep./Mej.</w:t>
            </w:r>
          </w:p>
        </w:tc>
      </w:tr>
      <w:tr>
        <w:tc>
          <w:tcPr>
            <w:tcW w:type="dxa" w:w="252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399514 / 228131 (2023)</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4.803,37</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859,90</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3.943,47</w:t>
            </w:r>
          </w:p>
        </w:tc>
        <w:tc>
          <w:tcPr>
            <w:tcW w:type="dxa" w:w="11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w:t>
            </w:r>
          </w:p>
        </w:tc>
        <w:tc>
          <w:tcPr>
            <w:tcW w:type="dxa" w:w="1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17,9 / 82,1</w:t>
            </w:r>
          </w:p>
        </w:tc>
      </w:tr>
      <w:tr>
        <w:tc>
          <w:tcPr>
            <w:tcW w:type="dxa" w:w="252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404381 / 228543 (2023)</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161,13</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66,49</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94,64</w:t>
            </w:r>
          </w:p>
        </w:tc>
        <w:tc>
          <w:tcPr>
            <w:tcW w:type="dxa" w:w="11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w:t>
            </w:r>
          </w:p>
        </w:tc>
        <w:tc>
          <w:tcPr>
            <w:tcW w:type="dxa" w:w="1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41,3 / 58,7</w:t>
            </w:r>
          </w:p>
        </w:tc>
      </w:tr>
      <w:tr>
        <w:tc>
          <w:tcPr>
            <w:tcW w:type="dxa" w:w="252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424413 / 229407 (2024)</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1.037,22</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323,55</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604,67</w:t>
            </w:r>
          </w:p>
        </w:tc>
        <w:tc>
          <w:tcPr>
            <w:tcW w:type="dxa" w:w="11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109,00</w:t>
            </w:r>
          </w:p>
        </w:tc>
        <w:tc>
          <w:tcPr>
            <w:tcW w:type="dxa" w:w="1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34,9 / 65,1</w:t>
            </w:r>
          </w:p>
        </w:tc>
      </w:tr>
      <w:tr>
        <w:tc>
          <w:tcPr>
            <w:tcW w:type="dxa" w:w="252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437264 / 230379 (2024)</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150,37</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75,19</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75,19</w:t>
            </w:r>
          </w:p>
        </w:tc>
        <w:tc>
          <w:tcPr>
            <w:tcW w:type="dxa" w:w="11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w:t>
            </w:r>
          </w:p>
        </w:tc>
        <w:tc>
          <w:tcPr>
            <w:tcW w:type="dxa" w:w="1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50,0 / 50,0</w:t>
            </w:r>
          </w:p>
        </w:tc>
      </w:tr>
      <w:tr>
        <w:tc>
          <w:tcPr>
            <w:tcW w:type="dxa" w:w="252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**TOTAL OBRAMAT</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**6.152,09</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**1.325,12</w:t>
            </w:r>
          </w:p>
        </w:tc>
        <w:tc>
          <w:tcPr>
            <w:tcW w:type="dxa" w:w="1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**4.717,97</w:t>
            </w:r>
          </w:p>
        </w:tc>
        <w:tc>
          <w:tcPr>
            <w:tcW w:type="dxa" w:w="11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**109,00</w:t>
            </w:r>
          </w:p>
        </w:tc>
        <w:tc>
          <w:tcPr>
            <w:tcW w:type="dxa" w:w="13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**21,9 / 78,1</w:t>
            </w:r>
          </w:p>
        </w:tc>
      </w:tr>
    </w:tbl>
    <w:p>
      <w:pPr>
        <w:spacing w:after="130" w:before="40" w:line="276"/>
      </w:pPr>
      <w:r>
        <w:rPr>
          <w:rFonts w:ascii="Arial" w:cs="Arial" w:eastAsia="Arial" w:hAnsi="Arial"/>
          <w:i/>
          <w:iCs/>
          <w:sz w:val="22"/>
          <w:szCs w:val="22"/>
        </w:rPr>
        <w:t xml:space="preserve">El detalle material por material (130 líneas clasificadas con su % y motivo) está en el Excel anexo, hoja “Línea a línea”. Cada factura cuadra al céntimo con su total.</w:t>
      </w:r>
    </w:p>
    <w:p>
      <w:pPr>
        <w:pStyle w:val="Heading1"/>
      </w:pPr>
      <w:r>
        <w:rPr>
          <w:rFonts w:ascii="Arial" w:cs="Arial" w:eastAsia="Arial" w:hAnsi="Arial"/>
          <w:b/>
          <w:bCs/>
          <w:color w:val="1F3864"/>
          <w:sz w:val="26"/>
          <w:szCs w:val="26"/>
        </w:rPr>
        <w:t xml:space="preserve">3. Criterio de clasificación de materiales</w:t>
      </w:r>
    </w:p>
    <w:p>
      <w:pPr>
        <w:spacing w:after="130" w:before="0" w:line="276"/>
      </w:pPr>
      <w:r>
        <w:rPr>
          <w:rFonts w:ascii="Arial" w:cs="Arial" w:eastAsia="Arial" w:hAnsi="Arial"/>
          <w:sz w:val="22"/>
          <w:szCs w:val="22"/>
        </w:rPr>
        <w:t xml:space="preserve">Cada línea se asignó a su capítulo según la obra que describe el certificado del contratista (baño existente reparado / segundo baño, habitación y suelo nuevos):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rPr>
          <w:tblHeader/>
        </w:trPr>
        <w:tc>
          <w:tcPr>
            <w:tcW w:type="dxa" w:w="30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Grupo de material</w:t>
            </w:r>
          </w:p>
        </w:tc>
        <w:tc>
          <w:tcPr>
            <w:tcW w:type="dxa" w:w="48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Criterio</w:t>
            </w:r>
          </w:p>
        </w:tc>
        <w:tc>
          <w:tcPr>
            <w:tcW w:type="dxa" w:w="156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Clase</w:t>
            </w:r>
          </w:p>
        </w:tc>
      </w:tr>
      <w:tr>
        <w:tc>
          <w:tcPr>
            <w:tcW w:type="dxa" w:w="30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Pladur y tabiquería (montantes, canales, placas, tornillería, ladrillo, panel acústico, cajas para tabique hueco)</w:t>
            </w:r>
          </w:p>
        </w:tc>
        <w:tc>
          <w:tcPr>
            <w:tcW w:type="dxa" w:w="48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Materiales de la división del baño y de la habitación nueva — redistribución</w:t>
            </w:r>
          </w:p>
        </w:tc>
        <w:tc>
          <w:tcPr>
            <w:tcW w:type="dxa" w:w="156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center"/>
            </w:pPr>
            <w:r>
              <w:rPr>
                <w:rFonts w:ascii="Arial" w:cs="Arial" w:eastAsia="Arial" w:hAnsi="Arial"/>
                <w:sz w:val="16"/>
                <w:szCs w:val="16"/>
              </w:rPr>
              <w:t xml:space="preserve">Mejora</w:t>
            </w:r>
          </w:p>
        </w:tc>
      </w:tr>
      <w:tr>
        <w:tc>
          <w:tcPr>
            <w:tcW w:type="dxa" w:w="30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Suelo (laminado clic, base EVA, rodapié, autonivelante, porcelánico, perfil unión)</w:t>
            </w:r>
          </w:p>
        </w:tc>
        <w:tc>
          <w:tcPr>
            <w:tcW w:type="dxa" w:w="48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Suelo laminado nuevo y su base</w:t>
            </w:r>
          </w:p>
        </w:tc>
        <w:tc>
          <w:tcPr>
            <w:tcW w:type="dxa" w:w="156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center"/>
            </w:pPr>
            <w:r>
              <w:rPr>
                <w:rFonts w:ascii="Arial" w:cs="Arial" w:eastAsia="Arial" w:hAnsi="Arial"/>
                <w:sz w:val="16"/>
                <w:szCs w:val="16"/>
              </w:rPr>
              <w:t xml:space="preserve">Mejora</w:t>
            </w:r>
          </w:p>
        </w:tc>
      </w:tr>
      <w:tr>
        <w:tc>
          <w:tcPr>
            <w:tcW w:type="dxa" w:w="30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Carpintería (puertas block, puerta exterior, ventana PVC, correderas, premarcos)</w:t>
            </w:r>
          </w:p>
        </w:tc>
        <w:tc>
          <w:tcPr>
            <w:tcW w:type="dxa" w:w="48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Carpintería nueva de la redistribución (prudente: sin prueba de mera sustitución → mejora)</w:t>
            </w:r>
          </w:p>
        </w:tc>
        <w:tc>
          <w:tcPr>
            <w:tcW w:type="dxa" w:w="156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center"/>
            </w:pPr>
            <w:r>
              <w:rPr>
                <w:rFonts w:ascii="Arial" w:cs="Arial" w:eastAsia="Arial" w:hAnsi="Arial"/>
                <w:sz w:val="16"/>
                <w:szCs w:val="16"/>
              </w:rPr>
              <w:t xml:space="preserve">Mejora</w:t>
            </w:r>
          </w:p>
        </w:tc>
      </w:tr>
      <w:tr>
        <w:tc>
          <w:tcPr>
            <w:tcW w:type="dxa" w:w="30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Estructura (viga IPN)</w:t>
            </w:r>
          </w:p>
        </w:tc>
        <w:tc>
          <w:tcPr>
            <w:tcW w:type="dxa" w:w="480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left"/>
            </w:pPr>
            <w:r>
              <w:rPr>
                <w:rFonts w:ascii="Arial" w:cs="Arial" w:eastAsia="Arial" w:hAnsi="Arial"/>
                <w:sz w:val="16"/>
                <w:szCs w:val="16"/>
              </w:rPr>
              <w:t xml:space="preserve">Apertura de nuevo hueco de paso</w:t>
            </w:r>
          </w:p>
        </w:tc>
        <w:tc>
          <w:tcPr>
            <w:tcW w:type="dxa" w:w="1560"/>
            <w:tcBorders>
              <w:top w:val="single" w:color="B0B0B0" w:sz="1"/>
              <w:left w:val="single" w:color="B0B0B0" w:sz="1"/>
              <w:bottom w:val="single" w:color="B0B0B0" w:sz="1"/>
              <w:right w:val="single" w:color="B0B0B0" w:sz="1"/>
            </w:tcBorders>
            <w:shd w:fill="FCE4D6" w:val="clear"/>
            <w:tcMar>
              <w:top w:type="dxa" w:w="55"/>
              <w:left w:type="dxa" w:w="85"/>
              <w:bottom w:type="dxa" w:w="55"/>
              <w:right w:type="dxa" w:w="85"/>
            </w:tcMar>
          </w:tcPr>
          <w:p>
            <w:pPr>
              <w:spacing w:after="0" w:line="240"/>
              <w:jc w:val="center"/>
            </w:pPr>
            <w:r>
              <w:rPr>
                <w:rFonts w:ascii="Arial" w:cs="Arial" w:eastAsia="Arial" w:hAnsi="Arial"/>
                <w:sz w:val="16"/>
                <w:szCs w:val="16"/>
              </w:rPr>
              <w:t xml:space="preserve">Mejora</w:t>
            </w:r>
          </w:p>
        </w:tc>
      </w:tr>
      <w:tr>
        <w:tc>
          <w:tcPr>
            <w:tcW w:type="dxa" w:w="3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Sanitarios y grifería (2 platos, 2 WC, 2 muebles, 2 grifos, mampara)</w:t>
            </w:r>
          </w:p>
        </w:tc>
        <w:tc>
          <w:tcPr>
            <w:tcW w:type="dxa" w:w="48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2 unidades sin poder identificar baño existente vs. nuevo</w:t>
            </w:r>
          </w:p>
        </w:tc>
        <w:tc>
          <w:tcPr>
            <w:tcW w:type="dxa" w:w="15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50/50</w:t>
            </w:r>
          </w:p>
        </w:tc>
      </w:tr>
      <w:tr>
        <w:tc>
          <w:tcPr>
            <w:tcW w:type="dxa" w:w="3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Fontanería y saneamiento (tubos, codos, llaves, sifones, cobre, PVC)</w:t>
            </w:r>
          </w:p>
        </w:tc>
        <w:tc>
          <w:tcPr>
            <w:tcW w:type="dxa" w:w="48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Sirve al baño existente (rep.) y al segundo baño (mej.)</w:t>
            </w:r>
          </w:p>
        </w:tc>
        <w:tc>
          <w:tcPr>
            <w:tcW w:type="dxa" w:w="15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50/50</w:t>
            </w:r>
          </w:p>
        </w:tc>
      </w:tr>
      <w:tr>
        <w:tc>
          <w:tcPr>
            <w:tcW w:type="dxa" w:w="3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Eléctrico (cable, downlights, corrugado, cajas genéricas)</w:t>
            </w:r>
          </w:p>
        </w:tc>
        <w:tc>
          <w:tcPr>
            <w:tcW w:type="dxa" w:w="48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Reposición de instalación existente y nueva habitación/baño</w:t>
            </w:r>
          </w:p>
        </w:tc>
        <w:tc>
          <w:tcPr>
            <w:tcW w:type="dxa" w:w="15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50/50</w:t>
            </w:r>
          </w:p>
        </w:tc>
      </w:tr>
      <w:tr>
        <w:tc>
          <w:tcPr>
            <w:tcW w:type="dxa" w:w="3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Alicatado y material general (azulejo, webercol, yeso, cemento, mortero, plaste)</w:t>
            </w:r>
          </w:p>
        </w:tc>
        <w:tc>
          <w:tcPr>
            <w:tcW w:type="dxa" w:w="48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Alisado/baño existente (rep.) y obra nueva (mej.)</w:t>
            </w:r>
          </w:p>
        </w:tc>
        <w:tc>
          <w:tcPr>
            <w:tcW w:type="dxa" w:w="15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50/50</w:t>
            </w:r>
          </w:p>
        </w:tc>
      </w:tr>
      <w:tr>
        <w:tc>
          <w:tcPr>
            <w:tcW w:type="dxa" w:w="3000"/>
            <w:tcBorders>
              <w:top w:val="single" w:color="B0B0B0" w:sz="1"/>
              <w:left w:val="single" w:color="B0B0B0" w:sz="1"/>
              <w:bottom w:val="single" w:color="B0B0B0" w:sz="1"/>
              <w:right w:val="single" w:color="B0B0B0" w:sz="1"/>
            </w:tcBorders>
            <w:shd w:fill="FFF2CC" w:val="clear"/>
            <w:tcMar>
              <w:top w:type="dxa" w:w="55"/>
              <w:left w:type="dxa" w:w="85"/>
              <w:bottom w:type="dxa" w:w="55"/>
              <w:right w:type="dxa" w:w="85"/>
            </w:tcMar>
          </w:tcPr>
          <w:p>
            <w:pPr>
              <w:spacing w:after="0" w:line="240"/>
              <w:jc w:val="left"/>
            </w:pPr>
            <w:r>
              <w:rPr>
                <w:rFonts w:ascii="Arial" w:cs="Arial" w:eastAsia="Arial" w:hAnsi="Arial"/>
                <w:sz w:val="16"/>
                <w:szCs w:val="16"/>
              </w:rPr>
              <w:t xml:space="preserve">Termo eléctrico (109,00 €)</w:t>
            </w:r>
          </w:p>
        </w:tc>
        <w:tc>
          <w:tcPr>
            <w:tcW w:type="dxa" w:w="4800"/>
            <w:tcBorders>
              <w:top w:val="single" w:color="B0B0B0" w:sz="1"/>
              <w:left w:val="single" w:color="B0B0B0" w:sz="1"/>
              <w:bottom w:val="single" w:color="B0B0B0" w:sz="1"/>
              <w:right w:val="single" w:color="B0B0B0" w:sz="1"/>
            </w:tcBorders>
            <w:shd w:fill="FFF2CC" w:val="clear"/>
            <w:tcMar>
              <w:top w:type="dxa" w:w="55"/>
              <w:left w:type="dxa" w:w="85"/>
              <w:bottom w:type="dxa" w:w="55"/>
              <w:right w:type="dxa" w:w="85"/>
            </w:tcMar>
          </w:tcPr>
          <w:p>
            <w:pPr>
              <w:spacing w:after="0" w:line="240"/>
              <w:jc w:val="left"/>
            </w:pPr>
            <w:r>
              <w:rPr>
                <w:rFonts w:ascii="Arial" w:cs="Arial" w:eastAsia="Arial" w:hAnsi="Arial"/>
                <w:sz w:val="16"/>
                <w:szCs w:val="16"/>
              </w:rPr>
              <w:t xml:space="preserve">Fuera por decisión prudente del contribuyente; no se reclama</w:t>
            </w:r>
          </w:p>
        </w:tc>
        <w:tc>
          <w:tcPr>
            <w:tcW w:type="dxa" w:w="1560"/>
            <w:tcBorders>
              <w:top w:val="single" w:color="B0B0B0" w:sz="1"/>
              <w:left w:val="single" w:color="B0B0B0" w:sz="1"/>
              <w:bottom w:val="single" w:color="B0B0B0" w:sz="1"/>
              <w:right w:val="single" w:color="B0B0B0" w:sz="1"/>
            </w:tcBorders>
            <w:shd w:fill="FFF2CC" w:val="clear"/>
            <w:tcMar>
              <w:top w:type="dxa" w:w="55"/>
              <w:left w:type="dxa" w:w="85"/>
              <w:bottom w:type="dxa" w:w="55"/>
              <w:right w:type="dxa" w:w="85"/>
            </w:tcMar>
          </w:tcPr>
          <w:p>
            <w:pPr>
              <w:spacing w:after="0" w:line="240"/>
              <w:jc w:val="center"/>
            </w:pPr>
            <w:r>
              <w:rPr>
                <w:rFonts w:ascii="Arial" w:cs="Arial" w:eastAsia="Arial" w:hAnsi="Arial"/>
                <w:sz w:val="16"/>
                <w:szCs w:val="16"/>
              </w:rPr>
              <w:t xml:space="preserve">Fuera</w:t>
            </w:r>
          </w:p>
        </w:tc>
      </w:tr>
      <w:tr>
        <w:tc>
          <w:tcPr>
            <w:tcW w:type="dxa" w:w="30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Logística (palet, transporte, preparación)</w:t>
            </w:r>
          </w:p>
        </w:tc>
        <w:tc>
          <w:tcPr>
            <w:tcW w:type="dxa" w:w="48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Prorrateada según el peso rep./mej. de cada factura</w:t>
            </w:r>
          </w:p>
        </w:tc>
        <w:tc>
          <w:tcPr>
            <w:tcW w:type="dxa" w:w="15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center"/>
            </w:pPr>
            <w:r>
              <w:rPr>
                <w:rFonts w:ascii="Arial" w:cs="Arial" w:eastAsia="Arial" w:hAnsi="Arial"/>
                <w:sz w:val="16"/>
                <w:szCs w:val="16"/>
              </w:rPr>
              <w:t xml:space="preserve">Prorrateo</w:t>
            </w:r>
          </w:p>
        </w:tc>
      </w:tr>
    </w:tbl>
    <w:p>
      <w:pPr>
        <w:pageBreakBefore/>
      </w:pPr>
    </w:p>
    <w:p>
      <w:pPr>
        <w:pStyle w:val="Heading1"/>
      </w:pPr>
      <w:r>
        <w:rPr>
          <w:rFonts w:ascii="Arial" w:cs="Arial" w:eastAsia="Arial" w:hAnsi="Arial"/>
          <w:b/>
          <w:bCs/>
          <w:color w:val="1F3864"/>
          <w:sz w:val="26"/>
          <w:szCs w:val="26"/>
        </w:rPr>
        <w:t xml:space="preserve">4. Conciliación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700"/>
        <w:gridCol w:w="1500"/>
        <w:gridCol w:w="1500"/>
        <w:gridCol w:w="1100"/>
      </w:tblGrid>
      <w:tr>
        <w:trPr>
          <w:tblHeader/>
        </w:trPr>
        <w:tc>
          <w:tcPr>
            <w:tcW w:type="dxa" w:w="356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Bloque</w:t>
            </w:r>
          </w:p>
        </w:tc>
        <w:tc>
          <w:tcPr>
            <w:tcW w:type="dxa" w:w="17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Importe (€)</w:t>
            </w:r>
          </w:p>
        </w:tc>
        <w:tc>
          <w:tcPr>
            <w:tcW w:type="dxa" w:w="15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Reparación</w:t>
            </w:r>
          </w:p>
        </w:tc>
        <w:tc>
          <w:tcPr>
            <w:tcW w:type="dxa" w:w="15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Mejora</w:t>
            </w:r>
          </w:p>
        </w:tc>
        <w:tc>
          <w:tcPr>
            <w:tcW w:type="dxa" w:w="11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Fuera</w:t>
            </w:r>
          </w:p>
        </w:tc>
      </w:tr>
      <w:tr>
        <w:tc>
          <w:tcPr>
            <w:tcW w:type="dxa" w:w="35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Factura SB 014/2024 (mano de obra)</w:t>
            </w:r>
          </w:p>
        </w:tc>
        <w:tc>
          <w:tcPr>
            <w:tcW w:type="dxa" w:w="17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16.335,00</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6.900,00</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9.435,00</w:t>
            </w:r>
          </w:p>
        </w:tc>
        <w:tc>
          <w:tcPr>
            <w:tcW w:type="dxa" w:w="11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w:t>
            </w:r>
          </w:p>
        </w:tc>
      </w:tr>
      <w:tr>
        <w:tc>
          <w:tcPr>
            <w:tcW w:type="dxa" w:w="35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OBRAMAT (4 facturas, línea a línea)</w:t>
            </w:r>
          </w:p>
        </w:tc>
        <w:tc>
          <w:tcPr>
            <w:tcW w:type="dxa" w:w="17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6.152,09</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1.325,12</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4.717,97</w:t>
            </w:r>
          </w:p>
        </w:tc>
        <w:tc>
          <w:tcPr>
            <w:tcW w:type="dxa" w:w="11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109,00</w:t>
            </w:r>
          </w:p>
        </w:tc>
      </w:tr>
      <w:tr>
        <w:tc>
          <w:tcPr>
            <w:tcW w:type="dxa" w:w="3560"/>
            <w:tcBorders>
              <w:top w:val="single" w:color="B0B0B0" w:sz="1"/>
              <w:left w:val="single" w:color="B0B0B0" w:sz="1"/>
              <w:bottom w:val="single" w:color="B0B0B0" w:sz="1"/>
              <w:right w:val="single" w:color="B0B0B0" w:sz="1"/>
            </w:tcBorders>
            <w:shd w:fill="DDEBF7" w:val="clear"/>
            <w:tcMar>
              <w:top w:type="dxa" w:w="55"/>
              <w:left w:type="dxa" w:w="85"/>
              <w:bottom w:type="dxa" w:w="55"/>
              <w:right w:type="dxa" w:w="85"/>
            </w:tcMar>
          </w:tcPr>
          <w:p>
            <w:pPr>
              <w:spacing w:after="0" w:line="240"/>
              <w:jc w:val="left"/>
            </w:pPr>
            <w:r>
              <w:rPr>
                <w:rFonts w:ascii="Arial" w:cs="Arial" w:eastAsia="Arial" w:hAnsi="Arial"/>
                <w:sz w:val="16"/>
                <w:szCs w:val="16"/>
              </w:rPr>
              <w:t xml:space="preserve">**TOTAL POOL REFORMA</w:t>
            </w:r>
          </w:p>
        </w:tc>
        <w:tc>
          <w:tcPr>
            <w:tcW w:type="dxa" w:w="1700"/>
            <w:tcBorders>
              <w:top w:val="single" w:color="B0B0B0" w:sz="1"/>
              <w:left w:val="single" w:color="B0B0B0" w:sz="1"/>
              <w:bottom w:val="single" w:color="B0B0B0" w:sz="1"/>
              <w:right w:val="single" w:color="B0B0B0" w:sz="1"/>
            </w:tcBorders>
            <w:shd w:fill="DDEBF7" w:val="clear"/>
            <w:tcMar>
              <w:top w:type="dxa" w:w="55"/>
              <w:left w:type="dxa" w:w="85"/>
              <w:bottom w:type="dxa" w:w="55"/>
              <w:right w:type="dxa" w:w="85"/>
            </w:tcMar>
          </w:tcPr>
          <w:p>
            <w:pPr>
              <w:spacing w:after="0" w:line="240"/>
              <w:jc w:val="right"/>
            </w:pPr>
            <w:r>
              <w:rPr>
                <w:rFonts w:ascii="Arial" w:cs="Arial" w:eastAsia="Arial" w:hAnsi="Arial"/>
                <w:sz w:val="16"/>
                <w:szCs w:val="16"/>
              </w:rPr>
              <w:t xml:space="preserve">**22.487,09</w:t>
            </w:r>
          </w:p>
        </w:tc>
        <w:tc>
          <w:tcPr>
            <w:tcW w:type="dxa" w:w="1500"/>
            <w:tcBorders>
              <w:top w:val="single" w:color="B0B0B0" w:sz="1"/>
              <w:left w:val="single" w:color="B0B0B0" w:sz="1"/>
              <w:bottom w:val="single" w:color="B0B0B0" w:sz="1"/>
              <w:right w:val="single" w:color="B0B0B0" w:sz="1"/>
            </w:tcBorders>
            <w:shd w:fill="DDEBF7" w:val="clear"/>
            <w:tcMar>
              <w:top w:type="dxa" w:w="55"/>
              <w:left w:type="dxa" w:w="85"/>
              <w:bottom w:type="dxa" w:w="55"/>
              <w:right w:type="dxa" w:w="85"/>
            </w:tcMar>
          </w:tcPr>
          <w:p>
            <w:pPr>
              <w:spacing w:after="0" w:line="240"/>
              <w:jc w:val="right"/>
            </w:pPr>
            <w:r>
              <w:rPr>
                <w:rFonts w:ascii="Arial" w:cs="Arial" w:eastAsia="Arial" w:hAnsi="Arial"/>
                <w:sz w:val="16"/>
                <w:szCs w:val="16"/>
              </w:rPr>
              <w:t xml:space="preserve">**8.225,12</w:t>
            </w:r>
          </w:p>
        </w:tc>
        <w:tc>
          <w:tcPr>
            <w:tcW w:type="dxa" w:w="1500"/>
            <w:tcBorders>
              <w:top w:val="single" w:color="B0B0B0" w:sz="1"/>
              <w:left w:val="single" w:color="B0B0B0" w:sz="1"/>
              <w:bottom w:val="single" w:color="B0B0B0" w:sz="1"/>
              <w:right w:val="single" w:color="B0B0B0" w:sz="1"/>
            </w:tcBorders>
            <w:shd w:fill="DDEBF7" w:val="clear"/>
            <w:tcMar>
              <w:top w:type="dxa" w:w="55"/>
              <w:left w:type="dxa" w:w="85"/>
              <w:bottom w:type="dxa" w:w="55"/>
              <w:right w:type="dxa" w:w="85"/>
            </w:tcMar>
          </w:tcPr>
          <w:p>
            <w:pPr>
              <w:spacing w:after="0" w:line="240"/>
              <w:jc w:val="right"/>
            </w:pPr>
            <w:r>
              <w:rPr>
                <w:rFonts w:ascii="Arial" w:cs="Arial" w:eastAsia="Arial" w:hAnsi="Arial"/>
                <w:sz w:val="16"/>
                <w:szCs w:val="16"/>
              </w:rPr>
              <w:t xml:space="preserve">**14.152,97</w:t>
            </w:r>
          </w:p>
        </w:tc>
        <w:tc>
          <w:tcPr>
            <w:tcW w:type="dxa" w:w="1100"/>
            <w:tcBorders>
              <w:top w:val="single" w:color="B0B0B0" w:sz="1"/>
              <w:left w:val="single" w:color="B0B0B0" w:sz="1"/>
              <w:bottom w:val="single" w:color="B0B0B0" w:sz="1"/>
              <w:right w:val="single" w:color="B0B0B0" w:sz="1"/>
            </w:tcBorders>
            <w:shd w:fill="DDEBF7" w:val="clear"/>
            <w:tcMar>
              <w:top w:type="dxa" w:w="55"/>
              <w:left w:type="dxa" w:w="85"/>
              <w:bottom w:type="dxa" w:w="55"/>
              <w:right w:type="dxa" w:w="85"/>
            </w:tcMar>
          </w:tcPr>
          <w:p>
            <w:pPr>
              <w:spacing w:after="0" w:line="240"/>
              <w:jc w:val="right"/>
            </w:pPr>
            <w:r>
              <w:rPr>
                <w:rFonts w:ascii="Arial" w:cs="Arial" w:eastAsia="Arial" w:hAnsi="Arial"/>
                <w:sz w:val="16"/>
                <w:szCs w:val="16"/>
              </w:rPr>
              <w:t xml:space="preserve">**109,00</w:t>
            </w:r>
          </w:p>
        </w:tc>
      </w:tr>
      <w:tr>
        <w:tc>
          <w:tcPr>
            <w:tcW w:type="dxa" w:w="3560"/>
            <w:tcBorders>
              <w:top w:val="single" w:color="B0B0B0" w:sz="1"/>
              <w:left w:val="single" w:color="B0B0B0" w:sz="1"/>
              <w:bottom w:val="single" w:color="B0B0B0" w:sz="1"/>
              <w:right w:val="single" w:color="B0B0B0" w:sz="1"/>
            </w:tcBorders>
            <w:shd w:fill="E2EFDA" w:val="clear"/>
            <w:tcMar>
              <w:top w:type="dxa" w:w="55"/>
              <w:left w:type="dxa" w:w="85"/>
              <w:bottom w:type="dxa" w:w="55"/>
              <w:right w:type="dxa" w:w="85"/>
            </w:tcMar>
          </w:tcPr>
          <w:p>
            <w:pPr>
              <w:spacing w:after="0" w:line="240"/>
              <w:jc w:val="left"/>
            </w:pPr>
            <w:r>
              <w:rPr>
                <w:rFonts w:ascii="Arial" w:cs="Arial" w:eastAsia="Arial" w:hAnsi="Arial"/>
                <w:sz w:val="16"/>
                <w:szCs w:val="16"/>
              </w:rPr>
              <w:t xml:space="preserve">Mobiliario y equipamiento</w:t>
            </w:r>
          </w:p>
        </w:tc>
        <w:tc>
          <w:tcPr>
            <w:tcW w:type="dxa" w:w="1700"/>
            <w:tcBorders>
              <w:top w:val="single" w:color="B0B0B0" w:sz="1"/>
              <w:left w:val="single" w:color="B0B0B0" w:sz="1"/>
              <w:bottom w:val="single" w:color="B0B0B0" w:sz="1"/>
              <w:right w:val="single" w:color="B0B0B0" w:sz="1"/>
            </w:tcBorders>
            <w:shd w:fill="E2EFDA" w:val="clear"/>
            <w:tcMar>
              <w:top w:type="dxa" w:w="55"/>
              <w:left w:type="dxa" w:w="85"/>
              <w:bottom w:type="dxa" w:w="55"/>
              <w:right w:type="dxa" w:w="85"/>
            </w:tcMar>
          </w:tcPr>
          <w:p>
            <w:pPr>
              <w:spacing w:after="0" w:line="240"/>
              <w:jc w:val="right"/>
            </w:pPr>
            <w:r>
              <w:rPr>
                <w:rFonts w:ascii="Arial" w:cs="Arial" w:eastAsia="Arial" w:hAnsi="Arial"/>
                <w:sz w:val="16"/>
                <w:szCs w:val="16"/>
              </w:rPr>
              <w:t xml:space="preserve">1.736,12</w:t>
            </w:r>
          </w:p>
        </w:tc>
        <w:tc>
          <w:tcPr>
            <w:tcW w:type="dxa" w:w="1500"/>
            <w:tcBorders>
              <w:top w:val="single" w:color="B0B0B0" w:sz="1"/>
              <w:left w:val="single" w:color="B0B0B0" w:sz="1"/>
              <w:bottom w:val="single" w:color="B0B0B0" w:sz="1"/>
              <w:right w:val="single" w:color="B0B0B0" w:sz="1"/>
            </w:tcBorders>
            <w:shd w:fill="E2EFDA" w:val="clear"/>
            <w:tcMar>
              <w:top w:type="dxa" w:w="55"/>
              <w:left w:type="dxa" w:w="85"/>
              <w:bottom w:type="dxa" w:w="55"/>
              <w:right w:type="dxa" w:w="85"/>
            </w:tcMar>
          </w:tcPr>
          <w:p>
            <w:pPr>
              <w:spacing w:after="0" w:line="240"/>
              <w:jc w:val="right"/>
            </w:pPr>
            <w:r>
              <w:rPr>
                <w:rFonts w:ascii="Arial" w:cs="Arial" w:eastAsia="Arial" w:hAnsi="Arial"/>
                <w:sz w:val="16"/>
                <w:szCs w:val="16"/>
              </w:rPr>
              <w:t xml:space="preserve">—</w:t>
            </w:r>
          </w:p>
        </w:tc>
        <w:tc>
          <w:tcPr>
            <w:tcW w:type="dxa" w:w="1500"/>
            <w:tcBorders>
              <w:top w:val="single" w:color="B0B0B0" w:sz="1"/>
              <w:left w:val="single" w:color="B0B0B0" w:sz="1"/>
              <w:bottom w:val="single" w:color="B0B0B0" w:sz="1"/>
              <w:right w:val="single" w:color="B0B0B0" w:sz="1"/>
            </w:tcBorders>
            <w:shd w:fill="E2EFDA" w:val="clear"/>
            <w:tcMar>
              <w:top w:type="dxa" w:w="55"/>
              <w:left w:type="dxa" w:w="85"/>
              <w:bottom w:type="dxa" w:w="55"/>
              <w:right w:type="dxa" w:w="85"/>
            </w:tcMar>
          </w:tcPr>
          <w:p>
            <w:pPr>
              <w:spacing w:after="0" w:line="240"/>
              <w:jc w:val="right"/>
            </w:pPr>
            <w:r>
              <w:rPr>
                <w:rFonts w:ascii="Arial" w:cs="Arial" w:eastAsia="Arial" w:hAnsi="Arial"/>
                <w:sz w:val="16"/>
                <w:szCs w:val="16"/>
              </w:rPr>
              <w:t xml:space="preserve">—</w:t>
            </w:r>
          </w:p>
        </w:tc>
        <w:tc>
          <w:tcPr>
            <w:tcW w:type="dxa" w:w="1100"/>
            <w:tcBorders>
              <w:top w:val="single" w:color="B0B0B0" w:sz="1"/>
              <w:left w:val="single" w:color="B0B0B0" w:sz="1"/>
              <w:bottom w:val="single" w:color="B0B0B0" w:sz="1"/>
              <w:right w:val="single" w:color="B0B0B0" w:sz="1"/>
            </w:tcBorders>
            <w:shd w:fill="E2EFDA" w:val="clear"/>
            <w:tcMar>
              <w:top w:type="dxa" w:w="55"/>
              <w:left w:type="dxa" w:w="85"/>
              <w:bottom w:type="dxa" w:w="55"/>
              <w:right w:type="dxa" w:w="85"/>
            </w:tcMar>
          </w:tcPr>
          <w:p>
            <w:pPr>
              <w:spacing w:after="0" w:line="240"/>
              <w:jc w:val="right"/>
            </w:pPr>
            <w:r>
              <w:rPr>
                <w:rFonts w:ascii="Arial" w:cs="Arial" w:eastAsia="Arial" w:hAnsi="Arial"/>
                <w:sz w:val="16"/>
                <w:szCs w:val="16"/>
              </w:rPr>
              <w:t xml:space="preserve">—</w:t>
            </w:r>
          </w:p>
        </w:tc>
      </w:tr>
      <w:tr>
        <w:tc>
          <w:tcPr>
            <w:tcW w:type="dxa" w:w="356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**TOTAL GLOBAL DOCUMENTADO</w:t>
            </w:r>
          </w:p>
        </w:tc>
        <w:tc>
          <w:tcPr>
            <w:tcW w:type="dxa" w:w="17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**24.223,21</w:t>
            </w: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p>
        </w:tc>
        <w:tc>
          <w:tcPr>
            <w:tcW w:type="dxa" w:w="15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p>
        </w:tc>
        <w:tc>
          <w:tcPr>
            <w:tcW w:type="dxa" w:w="11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p>
        </w:tc>
      </w:tr>
    </w:tbl>
    <w:p>
      <w:pPr>
        <w:spacing w:after="130" w:before="40" w:line="276"/>
      </w:pPr>
      <w:r>
        <w:rPr>
          <w:rFonts w:ascii="Arial" w:cs="Arial" w:eastAsia="Arial" w:hAnsi="Arial"/>
          <w:i/>
          <w:iCs/>
          <w:sz w:val="22"/>
          <w:szCs w:val="22"/>
        </w:rPr>
        <w:t xml:space="preserve">El total global (24.223,21 €) es el importe documentado con factura; incluye el termo, aunque no se reclame fiscalmente. Los 4 satélites no aportados (404213, 407792, 452497, 452516 = 464,86 €) no se reclaman.</w:t>
      </w:r>
    </w:p>
    <w:p>
      <w:pPr>
        <w:pStyle w:val="Heading1"/>
      </w:pPr>
      <w:r>
        <w:rPr>
          <w:rFonts w:ascii="Arial" w:cs="Arial" w:eastAsia="Arial" w:hAnsi="Arial"/>
          <w:b/>
          <w:bCs/>
          <w:color w:val="1F3864"/>
          <w:sz w:val="26"/>
          <w:szCs w:val="26"/>
        </w:rPr>
        <w:t xml:space="preserve">5. Imputación temporal y efecto fiscal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Concepto</w:t>
            </w:r>
          </w:p>
        </w:tc>
        <w:tc>
          <w:tcPr>
            <w:tcW w:type="dxa" w:w="248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Importe</w:t>
            </w:r>
          </w:p>
        </w:tc>
        <w:tc>
          <w:tcPr>
            <w:tcW w:type="dxa" w:w="2480"/>
            <w:tcBorders>
              <w:top w:val="single" w:color="B0B0B0" w:sz="1"/>
              <w:left w:val="single" w:color="B0B0B0" w:sz="1"/>
              <w:bottom w:val="single" w:color="B0B0B0" w:sz="1"/>
              <w:right w:val="single" w:color="B0B0B0" w:sz="1"/>
            </w:tcBorders>
            <w:shd w:fill="1F3864" w:val="clear"/>
            <w:tcMar>
              <w:top w:type="dxa" w:w="55"/>
              <w:left w:type="dxa" w:w="85"/>
              <w:bottom w:type="dxa" w:w="55"/>
              <w:right w:type="dxa" w:w="85"/>
            </w:tcMar>
          </w:tcPr>
          <w:p>
            <w:pPr>
              <w:spacing w:after="0" w:line="240"/>
            </w:pPr>
            <w:r>
              <w:rPr>
                <w:rFonts w:ascii="Arial" w:cs="Arial" w:eastAsia="Arial" w:hAnsi="Arial"/>
                <w:b/>
                <w:bCs/>
                <w:color w:val="FFFFFF"/>
                <w:sz w:val="16"/>
                <w:szCs w:val="16"/>
              </w:rPr>
              <w:t xml:space="preserve">Destino</w:t>
            </w:r>
          </w:p>
        </w:tc>
      </w:tr>
      <w:tr>
        <w:tc>
          <w:tcPr>
            <w:tcW w:type="dxa" w:w="4400"/>
            <w:tcBorders>
              <w:top w:val="single" w:color="B0B0B0" w:sz="1"/>
              <w:left w:val="single" w:color="B0B0B0" w:sz="1"/>
              <w:bottom w:val="single" w:color="B0B0B0" w:sz="1"/>
              <w:right w:val="single" w:color="B0B0B0" w:sz="1"/>
            </w:tcBorders>
            <w:shd w:fill="FFF2CC" w:val="clear"/>
            <w:tcMar>
              <w:top w:type="dxa" w:w="55"/>
              <w:left w:type="dxa" w:w="85"/>
              <w:bottom w:type="dxa" w:w="55"/>
              <w:right w:type="dxa" w:w="85"/>
            </w:tcMar>
          </w:tcPr>
          <w:p>
            <w:pPr>
              <w:spacing w:after="0" w:line="240"/>
              <w:jc w:val="left"/>
            </w:pPr>
            <w:r>
              <w:rPr>
                <w:rFonts w:ascii="Arial" w:cs="Arial" w:eastAsia="Arial" w:hAnsi="Arial"/>
                <w:sz w:val="16"/>
                <w:szCs w:val="16"/>
              </w:rPr>
              <w:t xml:space="preserve">Reparación devengada 2023 (OBRAMAT 399514 + 404381)</w:t>
            </w:r>
          </w:p>
        </w:tc>
        <w:tc>
          <w:tcPr>
            <w:tcW w:type="dxa" w:w="2480"/>
            <w:tcBorders>
              <w:top w:val="single" w:color="B0B0B0" w:sz="1"/>
              <w:left w:val="single" w:color="B0B0B0" w:sz="1"/>
              <w:bottom w:val="single" w:color="B0B0B0" w:sz="1"/>
              <w:right w:val="single" w:color="B0B0B0" w:sz="1"/>
            </w:tcBorders>
            <w:shd w:fill="FFF2CC" w:val="clear"/>
            <w:tcMar>
              <w:top w:type="dxa" w:w="55"/>
              <w:left w:type="dxa" w:w="85"/>
              <w:bottom w:type="dxa" w:w="55"/>
              <w:right w:type="dxa" w:w="85"/>
            </w:tcMar>
          </w:tcPr>
          <w:p>
            <w:pPr>
              <w:spacing w:after="0" w:line="240"/>
              <w:jc w:val="right"/>
            </w:pPr>
            <w:r>
              <w:rPr>
                <w:rFonts w:ascii="Arial" w:cs="Arial" w:eastAsia="Arial" w:hAnsi="Arial"/>
                <w:sz w:val="16"/>
                <w:szCs w:val="16"/>
              </w:rPr>
              <w:t xml:space="preserve">926,39 €</w:t>
            </w:r>
          </w:p>
        </w:tc>
        <w:tc>
          <w:tcPr>
            <w:tcW w:type="dxa" w:w="2480"/>
            <w:tcBorders>
              <w:top w:val="single" w:color="B0B0B0" w:sz="1"/>
              <w:left w:val="single" w:color="B0B0B0" w:sz="1"/>
              <w:bottom w:val="single" w:color="B0B0B0" w:sz="1"/>
              <w:right w:val="single" w:color="B0B0B0" w:sz="1"/>
            </w:tcBorders>
            <w:shd w:fill="FFF2CC" w:val="clear"/>
            <w:tcMar>
              <w:top w:type="dxa" w:w="55"/>
              <w:left w:type="dxa" w:w="85"/>
              <w:bottom w:type="dxa" w:w="55"/>
              <w:right w:type="dxa" w:w="85"/>
            </w:tcMar>
          </w:tcPr>
          <w:p>
            <w:pPr>
              <w:spacing w:after="0" w:line="240"/>
              <w:jc w:val="left"/>
            </w:pPr>
            <w:r>
              <w:rPr>
                <w:rFonts w:ascii="Arial" w:cs="Arial" w:eastAsia="Arial" w:hAnsi="Arial"/>
                <w:sz w:val="16"/>
                <w:szCs w:val="16"/>
              </w:rPr>
              <w:t xml:space="preserve">FUERA por prudencia (no se rectifica 2023); NO se reclasifica a mejora</w:t>
            </w:r>
          </w:p>
        </w:tc>
      </w:tr>
      <w:tr>
        <w:tc>
          <w:tcPr>
            <w:tcW w:type="dxa" w:w="4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Reparación devengada 2024 (SB 6.900 + OBRAMAT 398,74)</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7.298,74 €</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Deducible, sujeta a tope art. 23.1</w:t>
            </w:r>
          </w:p>
        </w:tc>
      </w:tr>
      <w:tr>
        <w:tc>
          <w:tcPr>
            <w:tcW w:type="dxa" w:w="4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 Aplicada en rectificación 2024 (tope 4.105,67)</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4.105,67 €</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Reduce base 2024</w:t>
            </w:r>
          </w:p>
        </w:tc>
      </w:tr>
      <w:tr>
        <w:tc>
          <w:tcPr>
            <w:tcW w:type="dxa" w:w="4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 Arrastre a Renta 2025</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3.193,07 €</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Se deduce en 2025</w:t>
            </w:r>
          </w:p>
        </w:tc>
      </w:tr>
      <w:tr>
        <w:tc>
          <w:tcPr>
            <w:tcW w:type="dxa" w:w="4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Base mejora amortizable (todo el devengo, 2023+2024)</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14.152,97 €</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Amortización 3% ≈ 424,59 €/año</w:t>
            </w:r>
          </w:p>
        </w:tc>
      </w:tr>
      <w:tr>
        <w:tc>
          <w:tcPr>
            <w:tcW w:type="dxa" w:w="440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Mobiliario</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right"/>
            </w:pPr>
            <w:r>
              <w:rPr>
                <w:rFonts w:ascii="Arial" w:cs="Arial" w:eastAsia="Arial" w:hAnsi="Arial"/>
                <w:sz w:val="16"/>
                <w:szCs w:val="16"/>
              </w:rPr>
              <w:t xml:space="preserve">1.736,12 €</w:t>
            </w:r>
          </w:p>
        </w:tc>
        <w:tc>
          <w:tcPr>
            <w:tcW w:type="dxa" w:w="2480"/>
            <w:tcBorders>
              <w:top w:val="single" w:color="B0B0B0" w:sz="1"/>
              <w:left w:val="single" w:color="B0B0B0" w:sz="1"/>
              <w:bottom w:val="single" w:color="B0B0B0" w:sz="1"/>
              <w:right w:val="single" w:color="B0B0B0" w:sz="1"/>
            </w:tcBorders>
            <w:tcMar>
              <w:top w:type="dxa" w:w="55"/>
              <w:left w:type="dxa" w:w="85"/>
              <w:bottom w:type="dxa" w:w="55"/>
              <w:right w:type="dxa" w:w="85"/>
            </w:tcMar>
          </w:tcPr>
          <w:p>
            <w:pPr>
              <w:spacing w:after="0" w:line="240"/>
              <w:jc w:val="left"/>
            </w:pPr>
            <w:r>
              <w:rPr>
                <w:rFonts w:ascii="Arial" w:cs="Arial" w:eastAsia="Arial" w:hAnsi="Arial"/>
                <w:sz w:val="16"/>
                <w:szCs w:val="16"/>
              </w:rPr>
              <w:t xml:space="preserve">Amortización 10% = 173,61 €/año</w:t>
            </w:r>
          </w:p>
        </w:tc>
      </w:tr>
    </w:tbl>
    <w:p>
      <w:pPr>
        <w:spacing w:after="80"/>
      </w:pPr>
      <w:r>
        <w:rPr>
          <w:sz w:val="8"/>
          <w:szCs w:val="8"/>
        </w:rPr>
        <w:t xml:space="preserve"/>
      </w:r>
    </w:p>
    <w:p>
      <w:pPr>
        <w:spacing w:after="130" w:before="0" w:line="276"/>
      </w:pPr>
      <w:r>
        <w:rPr>
          <w:rFonts w:ascii="Arial" w:cs="Arial" w:eastAsia="Arial" w:hAnsi="Arial"/>
          <w:sz w:val="22"/>
          <w:szCs w:val="22"/>
        </w:rPr>
        <w:t xml:space="preserve">Igual que en la v2, la mejora devengada en 2023 se amortiza con normalidad (la mejora no caduca con el ejercicio); la reparación estrictamente devengada en 2023 (926,39 €) se sacrifica por prudencia al no rectificarse 2023, sin trasladarla a base amortizable. El efecto fiscal de 2024 es idéntico al de la v2 (tope 4.105,67 €) y el arrastre a 2025 prácticamente igual (3.193 € frente a 3.182 €).</w:t>
      </w:r>
    </w:p>
    <w:p>
      <w:pPr>
        <w:pStyle w:val="Heading1"/>
      </w:pPr>
      <w:r>
        <w:rPr>
          <w:rFonts w:ascii="Arial" w:cs="Arial" w:eastAsia="Arial" w:hAnsi="Arial"/>
          <w:b/>
          <w:bCs/>
          <w:color w:val="1F3864"/>
          <w:sz w:val="26"/>
          <w:szCs w:val="26"/>
        </w:rPr>
        <w:t xml:space="preserve">6. Por qué la v3 es mejor defensa</w:t>
      </w:r>
    </w:p>
    <w:p>
      <w:pPr>
        <w:pStyle w:val="ListParagraph"/>
        <w:numPr>
          <w:ilvl w:val="0"/>
          <w:numId w:val="2"/>
        </w:numPr>
        <w:spacing w:after="130" w:before="0" w:line="276"/>
      </w:pPr>
      <w:r>
        <w:rPr>
          <w:rFonts w:ascii="Arial" w:cs="Arial" w:eastAsia="Arial" w:hAnsi="Arial"/>
          <w:b/>
          <w:bCs/>
          <w:sz w:val="22"/>
          <w:szCs w:val="22"/>
        </w:rPr>
        <w:t xml:space="preserve">Cierra el único flanco débil:</w:t>
      </w:r>
      <w:r>
        <w:rPr>
          <w:rFonts w:ascii="Arial" w:cs="Arial" w:eastAsia="Arial" w:hAnsi="Arial"/>
          <w:sz w:val="22"/>
          <w:szCs w:val="22"/>
        </w:rPr>
        <w:t xml:space="preserve"> el reparto de materiales ya no es una estimación 25/75, sino una clasificación material por material soportada en las facturas con detalle de líneas. Es justo lo que la doctrina del TEAC (RG 00/00946/2020) exige: análisis partida a partida.</w:t>
      </w:r>
    </w:p>
    <w:p>
      <w:pPr>
        <w:pStyle w:val="ListParagraph"/>
        <w:numPr>
          <w:ilvl w:val="0"/>
          <w:numId w:val="2"/>
        </w:numPr>
        <w:spacing w:after="130" w:before="0" w:line="276"/>
      </w:pPr>
      <w:r>
        <w:rPr>
          <w:rFonts w:ascii="Arial" w:cs="Arial" w:eastAsia="Arial" w:hAnsi="Arial"/>
          <w:b/>
          <w:bCs/>
          <w:sz w:val="22"/>
          <w:szCs w:val="22"/>
        </w:rPr>
        <w:t xml:space="preserve">Coherencia con el certificado:</w:t>
      </w:r>
      <w:r>
        <w:rPr>
          <w:rFonts w:ascii="Arial" w:cs="Arial" w:eastAsia="Arial" w:hAnsi="Arial"/>
          <w:sz w:val="22"/>
          <w:szCs w:val="22"/>
        </w:rPr>
        <w:t xml:space="preserve"> los materiales de pladur, suelo y segundo baño van a mejora, igual que la mano de obra que el contratista certificó como nueva creación; los materiales de reposición y la mitad de la fontanería/eléctrico del baño existente van a reparación, igual que la mano de obra certificada como reparación. Materiales y certificado dicen lo mismo.</w:t>
      </w:r>
    </w:p>
    <w:p>
      <w:pPr>
        <w:pStyle w:val="ListParagraph"/>
        <w:numPr>
          <w:ilvl w:val="0"/>
          <w:numId w:val="2"/>
        </w:numPr>
        <w:spacing w:after="130" w:before="0" w:line="276"/>
      </w:pPr>
      <w:r>
        <w:rPr>
          <w:rFonts w:ascii="Arial" w:cs="Arial" w:eastAsia="Arial" w:hAnsi="Arial"/>
          <w:b/>
          <w:bCs/>
          <w:sz w:val="22"/>
          <w:szCs w:val="22"/>
        </w:rPr>
        <w:t xml:space="preserve">Prudencia mantenida:</w:t>
      </w:r>
      <w:r>
        <w:rPr>
          <w:rFonts w:ascii="Arial" w:cs="Arial" w:eastAsia="Arial" w:hAnsi="Arial"/>
          <w:sz w:val="22"/>
          <w:szCs w:val="22"/>
        </w:rPr>
        <w:t xml:space="preserve"> el suelo sigue como mejora, el termo fuera, los satélites no aportados no se reclaman, y los elementos duplicados de baño van al 50/50. Ante la duda, mejora.</w:t>
      </w:r>
    </w:p>
    <w:p>
      <w:pPr>
        <w:pStyle w:val="ListParagraph"/>
        <w:numPr>
          <w:ilvl w:val="0"/>
          <w:numId w:val="2"/>
        </w:numPr>
        <w:spacing w:after="130" w:before="0" w:line="276"/>
      </w:pPr>
      <w:r>
        <w:rPr>
          <w:rFonts w:ascii="Arial" w:cs="Arial" w:eastAsia="Arial" w:hAnsi="Arial"/>
          <w:b/>
          <w:bCs/>
          <w:sz w:val="22"/>
          <w:szCs w:val="22"/>
        </w:rPr>
        <w:t xml:space="preserve">Coste trivial:</w:t>
      </w:r>
      <w:r>
        <w:rPr>
          <w:rFonts w:ascii="Arial" w:cs="Arial" w:eastAsia="Arial" w:hAnsi="Arial"/>
          <w:sz w:val="22"/>
          <w:szCs w:val="22"/>
        </w:rPr>
        <w:t xml:space="preserve"> la reducción frente a la v2 (~329 € menos de reparación, ~245 € menos de base de mejora) es el precio de aportar solo 4 facturas y sacar el termo. A cambio, el expediente queda blindado.</w:t>
      </w:r>
    </w:p>
    <w:p>
      <w:pPr>
        <w:pStyle w:val="Heading1"/>
      </w:pPr>
      <w:r>
        <w:rPr>
          <w:rFonts w:ascii="Arial" w:cs="Arial" w:eastAsia="Arial" w:hAnsi="Arial"/>
          <w:b/>
          <w:bCs/>
          <w:color w:val="1F3864"/>
          <w:sz w:val="26"/>
          <w:szCs w:val="26"/>
        </w:rPr>
        <w:t xml:space="preserve">7. Nota crítica (deber de advertencia)</w:t>
      </w:r>
    </w:p>
    <w:p>
      <w:pPr>
        <w:spacing w:after="130" w:before="0" w:line="276"/>
      </w:pPr>
      <w:r>
        <w:rPr>
          <w:rFonts w:ascii="Arial" w:cs="Arial" w:eastAsia="Arial" w:hAnsi="Arial"/>
          <w:sz w:val="22"/>
          <w:szCs w:val="22"/>
        </w:rPr>
        <w:t xml:space="preserve">Dos cosas que pierdes voluntariamente y que podrías recuperar si quisieras, sin que ninguna sea recomendación de hacerlo:</w:t>
      </w:r>
    </w:p>
    <w:p>
      <w:pPr>
        <w:pStyle w:val="ListParagraph"/>
        <w:numPr>
          <w:ilvl w:val="0"/>
          <w:numId w:val="2"/>
        </w:numPr>
        <w:spacing w:after="130" w:before="0" w:line="276"/>
      </w:pPr>
      <w:r>
        <w:rPr>
          <w:rFonts w:ascii="Arial" w:cs="Arial" w:eastAsia="Arial" w:hAnsi="Arial"/>
          <w:b/>
          <w:bCs/>
          <w:sz w:val="22"/>
          <w:szCs w:val="22"/>
        </w:rPr>
        <w:t xml:space="preserve">Satélites (464,86 €):</w:t>
      </w:r>
      <w:r>
        <w:rPr>
          <w:rFonts w:ascii="Arial" w:cs="Arial" w:eastAsia="Arial" w:hAnsi="Arial"/>
          <w:sz w:val="22"/>
          <w:szCs w:val="22"/>
        </w:rPr>
        <w:t xml:space="preserve"> si localizas y aportas las 4 facturas satélite (404213, 407792, 452497, 452516), reincorporas esa base al pool. Sin ellas, no se reclaman.</w:t>
      </w:r>
    </w:p>
    <w:p>
      <w:pPr>
        <w:pStyle w:val="ListParagraph"/>
        <w:numPr>
          <w:ilvl w:val="0"/>
          <w:numId w:val="2"/>
        </w:numPr>
        <w:spacing w:after="130" w:before="0" w:line="276"/>
      </w:pPr>
      <w:r>
        <w:rPr>
          <w:rFonts w:ascii="Arial" w:cs="Arial" w:eastAsia="Arial" w:hAnsi="Arial"/>
          <w:b/>
          <w:bCs/>
          <w:sz w:val="22"/>
          <w:szCs w:val="22"/>
        </w:rPr>
        <w:t xml:space="preserve">Termo (109,00 €):</w:t>
      </w:r>
      <w:r>
        <w:rPr>
          <w:rFonts w:ascii="Arial" w:cs="Arial" w:eastAsia="Arial" w:hAnsi="Arial"/>
          <w:sz w:val="22"/>
          <w:szCs w:val="22"/>
        </w:rPr>
        <w:t xml:space="preserve"> aquí sí tiene factura (línea 15 de la 424413). Si el termo anterior estaba averiado, su sustitución sería defendible como reparación. Lo dejo fuera porque así lo decidiste, pero no es una imposición documental.</w:t>
      </w:r>
    </w:p>
    <w:p>
      <w:pPr>
        <w:pStyle w:val="Heading1"/>
      </w:pPr>
      <w:r>
        <w:rPr>
          <w:rFonts w:ascii="Arial" w:cs="Arial" w:eastAsia="Arial" w:hAnsi="Arial"/>
          <w:b/>
          <w:bCs/>
          <w:color w:val="1F3864"/>
          <w:sz w:val="26"/>
          <w:szCs w:val="26"/>
        </w:rPr>
        <w:t xml:space="preserve">8. Fuentes y caveats</w:t>
      </w:r>
    </w:p>
    <w:p>
      <w:pPr>
        <w:spacing w:after="130" w:before="0" w:line="276"/>
      </w:pPr>
      <w:r>
        <w:rPr>
          <w:rFonts w:ascii="Arial" w:cs="Arial" w:eastAsia="Arial" w:hAnsi="Arial"/>
          <w:sz w:val="22"/>
          <w:szCs w:val="22"/>
        </w:rPr>
        <w:t xml:space="preserve">Citas: arts. 13 y 14 RIRPF; art. 23 LIRPF; art. 20.Uno.23º LIVA; DGT V0675-19 (reforma de baño existente = reparación); TEAC RG 00/00946/2020 (análisis partida a partida; el incremento del número de baños/habitaciones es mejora sin exigir aumento de superficie). No se cita ninguna consulta no verificada. La calificación final es cuestión de hecho valorable por gestión/inspección (art. 106 LGT). El reparto 50/50 de las partidas mixtas es un criterio prudente y razonado; si en el futuro se quisiera afinar, los albaranes o el proyecto permitirían asignar cada material a un baño concreto. Confirmar literales en petete antes de un eventual recurso.</w:t>
      </w:r>
    </w:p>
    <w:p>
      <w:pPr>
        <w:pBdr>
          <w:top w:val="single" w:color="2E75B6" w:sz="6" w:space="4"/>
        </w:pBdr>
        <w:spacing w:before="300"/>
      </w:pPr>
      <w:r>
        <w:rPr>
          <w:rFonts w:ascii="Arial" w:cs="Arial" w:eastAsia="Arial" w:hAnsi="Arial"/>
          <w:i/>
          <w:iCs/>
          <w:color w:val="777777"/>
          <w:sz w:val="18"/>
          <w:szCs w:val="18"/>
        </w:rPr>
        <w:t xml:space="preserve">v3 definitiva. El detalle línea a línea (130 materiales) está en el Excel anexo. Bloque reforma cerrado con soporte partida a partida.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Anexo del dossier fiscal · pág.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rFonts w:ascii="Arial" w:cs="Arial" w:eastAsia="Arial" w:hAnsi="Arial"/>
        <w:color w:val="999999"/>
        <w:sz w:val="16"/>
        <w:szCs w:val="16"/>
      </w:rPr>
      <w:t xml:space="preserve">Matriz de clasificación fiscal de la reforma v3 (línea a línea) — Menéndez Pidal 52 · NIF 76631414Z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3"/>
      </w:pBdr>
      <w:spacing w:after="140" w:before="26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clasificacion fiscal reforma v3 linea a linea</dc:title>
  <dc:creator>Matriz v3</dc:creator>
  <cp:lastModifiedBy>Un-named</cp:lastModifiedBy>
  <cp:revision>1</cp:revision>
  <dcterms:created xsi:type="dcterms:W3CDTF">2026-06-14T12:27:47.697Z</dcterms:created>
  <dcterms:modified xsi:type="dcterms:W3CDTF">2026-06-14T12:27:47.705Z</dcterms:modified>
</cp:coreProperties>
</file>

<file path=docProps/custom.xml><?xml version="1.0" encoding="utf-8"?>
<Properties xmlns="http://schemas.openxmlformats.org/officeDocument/2006/custom-properties" xmlns:vt="http://schemas.openxmlformats.org/officeDocument/2006/docPropsVTypes"/>
</file>