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rPr>
          <w:rFonts w:ascii="Georgia" w:hAnsi="Georgia"/>
          <w:b/>
          <w:color w:val="7B5C33"/>
          <w:sz w:val="24"/>
        </w:rPr>
        <w:t>BOOKSOUTLOUD</w:t>
        <w:br/>
      </w:r>
      <w:r>
        <w:rPr>
          <w:rFonts w:ascii="Georgia" w:hAnsi="Georgia"/>
          <w:color w:val="1F1D1A"/>
          <w:sz w:val="56"/>
        </w:rPr>
        <w:t>Performance Sourcebook</w:t>
        <w:br/>
      </w:r>
      <w:r>
        <w:rPr>
          <w:rFonts w:ascii="Georgia" w:hAnsi="Georgia"/>
          <w:i/>
          <w:color w:val="5F584F"/>
          <w:sz w:val="26"/>
        </w:rPr>
        <w:t>Exact selections, chapter targets, and source-routing notes</w:t>
        <w:br/>
      </w:r>
      <w:r>
        <w:rPr>
          <w:color w:val="7B5C33"/>
          <w:sz w:val="24"/>
        </w:rPr>
        <w:br/>
        <w:t>Prepared for Jeromy Darling</w:t>
        <w:br/>
      </w:r>
    </w:p>
    <w:p>
      <w:pPr>
        <w:jc w:val="center"/>
        <w:pBdr>
          <w:bottom w:val="single" w:sz="8" w:space="1" w:color="C9BCA4"/>
        </w:pBdr>
      </w:pPr>
    </w:p>
    <w:tbl>
      <w:tblPr>
        <w:tblW w:type="auto" w:w="0"/>
        <w:jc w:val="center"/>
        <w:tblLayout w:type="fixed"/>
        <w:tblLook w:firstColumn="1" w:firstRow="1" w:lastColumn="0" w:lastRow="0" w:noHBand="0" w:noVBand="1" w:val="04A0"/>
        <w:tblBorders>
          <w:top w:val="single" w:sz="8" w:color="C9BCA4"/>
          <w:left w:val="single" w:sz="8" w:color="C9BCA4"/>
          <w:bottom w:val="single" w:sz="8" w:color="C9BCA4"/>
          <w:right w:val="single" w:sz="8" w:color="C9BCA4"/>
          <w:insideH w:val="single" w:sz="8" w:color="C9BCA4"/>
          <w:insideV w:val="single" w:sz="8" w:color="C9BCA4"/>
        </w:tblBorders>
      </w:tblPr>
      <w:tblGrid>
        <w:gridCol w:w="8352"/>
      </w:tblGrid>
      <w:tr>
        <w:tc>
          <w:tcPr>
            <w:tcW w:type="dxa" w:w="9792"/>
            <w:shd w:fill="F8F3EA"/>
            <w:tcMar>
              <w:top w:w="140" w:type="dxa"/>
              <w:start w:w="180" w:type="dxa"/>
              <w:bottom w:w="140" w:type="dxa"/>
              <w:end w:w="180" w:type="dxa"/>
            </w:tcMar>
            <w:vAlign w:val="center"/>
          </w:tcPr>
          <w:p>
            <w:pPr>
              <w:jc w:val="left"/>
            </w:pPr>
            <w:r>
              <w:rPr>
                <w:b/>
                <w:color w:val="7B5C33"/>
                <w:sz w:val="20"/>
              </w:rPr>
              <w:t>Use case</w:t>
              <w:br/>
            </w:r>
            <w:r>
              <w:rPr>
                <w:sz w:val="21"/>
              </w:rPr>
              <w:t>This document is built for live performance prep. Every entry names the exact story, chapter, letter, or section to pull from an audiobook, PDF, or text-to-audio workflow. Selections are capped for programs that should comfortably fit within a 60-minute maximum performance window, leaving room afterward for a Q&amp;A.</w:t>
            </w:r>
          </w:p>
        </w:tc>
      </w:tr>
    </w:tbl>
    <w:p/>
    <w:p>
      <w:pPr>
        <w:jc w:val="center"/>
      </w:pPr>
      <w:r>
        <w:rPr>
          <w:i/>
          <w:color w:val="5F584F"/>
        </w:rPr>
        <w:t>Working principle: aim for 42-55 minutes of performed text, then transition into audience discussion.</w:t>
      </w:r>
    </w:p>
    <w:p>
      <w:r>
        <w:br w:type="page"/>
      </w:r>
    </w:p>
    <w:p>
      <w:pPr>
        <w:pStyle w:val="Heading1"/>
      </w:pPr>
      <w:r>
        <w:t>How to use this sourcebook</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592"/>
        <w:gridCol w:w="7056"/>
      </w:tblGrid>
      <w:tr>
        <w:tc>
          <w:tcPr>
            <w:tcW w:type="dxa" w:w="4896"/>
            <w:shd w:fill="EFE5D3"/>
            <w:tcMar>
              <w:top w:w="100" w:type="dxa"/>
              <w:start w:w="120" w:type="dxa"/>
              <w:bottom w:w="100" w:type="dxa"/>
              <w:end w:w="120" w:type="dxa"/>
            </w:tcMar>
          </w:tcPr>
          <w:p>
            <w:pPr>
              <w:jc w:val="center"/>
            </w:pPr>
            <w:r>
              <w:rPr>
                <w:b/>
                <w:color w:val="7B5C33"/>
                <w:sz w:val="20"/>
              </w:rPr>
              <w:t>Prep point</w:t>
            </w:r>
          </w:p>
        </w:tc>
        <w:tc>
          <w:tcPr>
            <w:tcW w:type="dxa" w:w="4896"/>
            <w:shd w:fill="EFE5D3"/>
            <w:tcMar>
              <w:top w:w="100" w:type="dxa"/>
              <w:start w:w="120" w:type="dxa"/>
              <w:bottom w:w="100" w:type="dxa"/>
              <w:end w:w="120" w:type="dxa"/>
            </w:tcMar>
          </w:tcPr>
          <w:p>
            <w:pPr>
              <w:jc w:val="center"/>
            </w:pPr>
            <w:r>
              <w:rPr>
                <w:b/>
                <w:color w:val="7B5C33"/>
                <w:sz w:val="20"/>
              </w:rPr>
              <w:t>Application</w:t>
            </w:r>
          </w:p>
        </w:tc>
      </w:tr>
      <w:tr>
        <w:tc>
          <w:tcPr>
            <w:tcW w:type="dxa" w:w="2592"/>
            <w:tcMar>
              <w:top w:w="80" w:type="dxa"/>
              <w:start w:w="110" w:type="dxa"/>
              <w:bottom w:w="80" w:type="dxa"/>
              <w:end w:w="110" w:type="dxa"/>
            </w:tcMar>
            <w:vAlign w:val="center"/>
          </w:tcPr>
          <w:p>
            <w:pPr>
              <w:spacing w:line="269" w:lineRule="auto"/>
            </w:pPr>
            <w:r>
              <w:rPr>
                <w:b/>
                <w:color w:val="1F1D1A"/>
              </w:rPr>
              <w:t>Performance length target</w:t>
            </w:r>
          </w:p>
        </w:tc>
        <w:tc>
          <w:tcPr>
            <w:tcW w:type="dxa" w:w="7056"/>
            <w:tcMar>
              <w:top w:w="80" w:type="dxa"/>
              <w:start w:w="110" w:type="dxa"/>
              <w:bottom w:w="80" w:type="dxa"/>
              <w:end w:w="110" w:type="dxa"/>
            </w:tcMar>
            <w:vAlign w:val="center"/>
          </w:tcPr>
          <w:p>
            <w:pPr>
              <w:spacing w:line="269" w:lineRule="auto"/>
            </w:pPr>
            <w:r>
              <w:rPr>
                <w:color w:val="1F1D1A"/>
              </w:rPr>
              <w:t>Even though 60 minutes is the hard ceiling, most programs should be built to land in the 42-55 minute range. That leaves natural breathing room for pacing, transitions, and a Q&amp;A without the event feeling rushed.</w:t>
            </w:r>
          </w:p>
        </w:tc>
      </w:tr>
      <w:tr>
        <w:tc>
          <w:tcPr>
            <w:tcW w:type="dxa" w:w="2592"/>
            <w:tcMar>
              <w:top w:w="80" w:type="dxa"/>
              <w:start w:w="110" w:type="dxa"/>
              <w:bottom w:w="80" w:type="dxa"/>
              <w:end w:w="110" w:type="dxa"/>
            </w:tcMar>
            <w:vAlign w:val="center"/>
          </w:tcPr>
          <w:p>
            <w:pPr>
              <w:spacing w:line="269" w:lineRule="auto"/>
            </w:pPr>
            <w:r>
              <w:rPr>
                <w:b/>
                <w:color w:val="1F1D1A"/>
              </w:rPr>
              <w:t>Audiobook-first rule</w:t>
            </w:r>
          </w:p>
        </w:tc>
        <w:tc>
          <w:tcPr>
            <w:tcW w:type="dxa" w:w="7056"/>
            <w:tcMar>
              <w:top w:w="80" w:type="dxa"/>
              <w:start w:w="110" w:type="dxa"/>
              <w:bottom w:w="80" w:type="dxa"/>
              <w:end w:w="110" w:type="dxa"/>
            </w:tcMar>
            <w:vAlign w:val="center"/>
          </w:tcPr>
          <w:p>
            <w:pPr>
              <w:spacing w:line="269" w:lineRule="auto"/>
            </w:pPr>
            <w:r>
              <w:rPr>
                <w:color w:val="1F1D1A"/>
              </w:rPr>
              <w:t>Whenever possible, choose selections that map cleanly to distinct audiobook chapters: full short stories, individual Screwtape letters, named chapters in Orthodoxy, or the seven meditations in Seven Last Words.</w:t>
            </w:r>
          </w:p>
        </w:tc>
      </w:tr>
      <w:tr>
        <w:tc>
          <w:tcPr>
            <w:tcW w:type="dxa" w:w="2592"/>
            <w:tcMar>
              <w:top w:w="80" w:type="dxa"/>
              <w:start w:w="110" w:type="dxa"/>
              <w:bottom w:w="80" w:type="dxa"/>
              <w:end w:w="110" w:type="dxa"/>
            </w:tcMar>
            <w:vAlign w:val="center"/>
          </w:tcPr>
          <w:p>
            <w:pPr>
              <w:spacing w:line="269" w:lineRule="auto"/>
            </w:pPr>
            <w:r>
              <w:rPr>
                <w:b/>
                <w:color w:val="1F1D1A"/>
              </w:rPr>
              <w:t>PDF-first rule</w:t>
            </w:r>
          </w:p>
        </w:tc>
        <w:tc>
          <w:tcPr>
            <w:tcW w:type="dxa" w:w="7056"/>
            <w:tcMar>
              <w:top w:w="80" w:type="dxa"/>
              <w:start w:w="110" w:type="dxa"/>
              <w:bottom w:w="80" w:type="dxa"/>
              <w:end w:w="110" w:type="dxa"/>
            </w:tcMar>
            <w:vAlign w:val="center"/>
          </w:tcPr>
          <w:p>
            <w:pPr>
              <w:spacing w:line="269" w:lineRule="auto"/>
            </w:pPr>
            <w:r>
              <w:rPr>
                <w:color w:val="1F1D1A"/>
              </w:rPr>
              <w:t>If the performance uses an excerpt rather than a full work, pull by heading, chapter title, or letter number rather than by page number alone. Audiobook chapter maps and PDF pagination vary by edition; section headings travel better.</w:t>
            </w:r>
          </w:p>
        </w:tc>
      </w:tr>
      <w:tr>
        <w:tc>
          <w:tcPr>
            <w:tcW w:type="dxa" w:w="2592"/>
            <w:tcMar>
              <w:top w:w="80" w:type="dxa"/>
              <w:start w:w="110" w:type="dxa"/>
              <w:bottom w:w="80" w:type="dxa"/>
              <w:end w:w="110" w:type="dxa"/>
            </w:tcMar>
            <w:vAlign w:val="center"/>
          </w:tcPr>
          <w:p>
            <w:pPr>
              <w:spacing w:line="269" w:lineRule="auto"/>
            </w:pPr>
            <w:r>
              <w:rPr>
                <w:b/>
                <w:color w:val="1F1D1A"/>
              </w:rPr>
              <w:t>Rights and source handling</w:t>
            </w:r>
          </w:p>
        </w:tc>
        <w:tc>
          <w:tcPr>
            <w:tcW w:type="dxa" w:w="7056"/>
            <w:tcMar>
              <w:top w:w="80" w:type="dxa"/>
              <w:start w:w="110" w:type="dxa"/>
              <w:bottom w:w="80" w:type="dxa"/>
              <w:end w:w="110" w:type="dxa"/>
            </w:tcMar>
            <w:vAlign w:val="center"/>
          </w:tcPr>
          <w:p>
            <w:pPr>
              <w:spacing w:line="269" w:lineRule="auto"/>
            </w:pPr>
            <w:r>
              <w:rPr>
                <w:color w:val="1F1D1A"/>
              </w:rPr>
              <w:t>For in-copyright works, use legally obtained editions you own or license. This document identifies what to pull; it does not reproduce the text itself. If you plan to record, distribute, or sell the performance beyond live presentation, confirm rights for the exact edition and jurisdiction.</w:t>
            </w:r>
          </w:p>
        </w:tc>
      </w:tr>
      <w:tr>
        <w:tc>
          <w:tcPr>
            <w:tcW w:type="dxa" w:w="2592"/>
            <w:tcMar>
              <w:top w:w="80" w:type="dxa"/>
              <w:start w:w="110" w:type="dxa"/>
              <w:bottom w:w="80" w:type="dxa"/>
              <w:end w:w="110" w:type="dxa"/>
            </w:tcMar>
            <w:vAlign w:val="center"/>
          </w:tcPr>
          <w:p>
            <w:pPr>
              <w:spacing w:line="269" w:lineRule="auto"/>
            </w:pPr>
            <w:r>
              <w:rPr>
                <w:b/>
                <w:color w:val="1F1D1A"/>
              </w:rPr>
              <w:t>Edition variance warning</w:t>
            </w:r>
          </w:p>
        </w:tc>
        <w:tc>
          <w:tcPr>
            <w:tcW w:type="dxa" w:w="7056"/>
            <w:tcMar>
              <w:top w:w="80" w:type="dxa"/>
              <w:start w:w="110" w:type="dxa"/>
              <w:bottom w:w="80" w:type="dxa"/>
              <w:end w:w="110" w:type="dxa"/>
            </w:tcMar>
            <w:vAlign w:val="center"/>
          </w:tcPr>
          <w:p>
            <w:pPr>
              <w:spacing w:line="269" w:lineRule="auto"/>
            </w:pPr>
            <w:r>
              <w:rPr>
                <w:color w:val="1F1D1A"/>
              </w:rPr>
              <w:t>Chapter numbering in modern audiobooks is often wrapped in front matter, introductions, or publisher notes. Verify against the printed heading itself before finalizing your cue list.</w:t>
            </w:r>
          </w:p>
        </w:tc>
      </w:tr>
    </w:tbl>
    <w:p/>
    <w:p>
      <w:r>
        <w:rPr>
          <w:b/>
          <w:color w:val="7B5C33"/>
        </w:rPr>
        <w:t xml:space="preserve">Notation used below: </w:t>
      </w:r>
      <w:r>
        <w:rPr>
          <w:color w:val="1F1D1A"/>
        </w:rPr>
        <w:t>FULL means the whole short story or whole chapter unit can be used. EXCERPT means you should pull the named internal section only. AUDIO-FRIENDLY means many audiobook editions will already segment the material cleanly. PDF-ANCHOR means you should cue from a stable heading or opening line in a text/PDF edition.</w:t>
      </w:r>
    </w:p>
    <w:p>
      <w:pPr>
        <w:pStyle w:val="Heading1"/>
      </w:pPr>
      <w:r>
        <w:t>Recommended first-wave repertoire</w:t>
      </w:r>
    </w:p>
    <w:p>
      <w:r>
        <w:t>These are the strongest launch programs for BooksOutLoud because they are recognizable, dramatically performable, and easy to source from audiobook or PDF editions.</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1800"/>
        <w:gridCol w:w="2232"/>
        <w:gridCol w:w="2808"/>
        <w:gridCol w:w="1440"/>
        <w:gridCol w:w="1512"/>
        <w:gridCol w:w="1584"/>
      </w:tblGrid>
      <w:tr>
        <w:tc>
          <w:tcPr>
            <w:tcW w:type="dxa" w:w="1632"/>
            <w:shd w:fill="EFE5D3"/>
            <w:tcMar>
              <w:top w:w="110" w:type="dxa"/>
              <w:start w:w="120" w:type="dxa"/>
              <w:bottom w:w="110" w:type="dxa"/>
              <w:end w:w="120" w:type="dxa"/>
            </w:tcMar>
            <w:vAlign w:val="center"/>
          </w:tcPr>
          <w:p>
            <w:pPr>
              <w:jc w:val="center"/>
            </w:pPr>
            <w:r>
              <w:rPr>
                <w:b/>
                <w:color w:val="7B5C33"/>
                <w:sz w:val="19"/>
              </w:rPr>
              <w:t>Program</w:t>
            </w:r>
          </w:p>
        </w:tc>
        <w:tc>
          <w:tcPr>
            <w:tcW w:type="dxa" w:w="1632"/>
            <w:shd w:fill="EFE5D3"/>
            <w:tcMar>
              <w:top w:w="110" w:type="dxa"/>
              <w:start w:w="120" w:type="dxa"/>
              <w:bottom w:w="110" w:type="dxa"/>
              <w:end w:w="120" w:type="dxa"/>
            </w:tcMar>
            <w:vAlign w:val="center"/>
          </w:tcPr>
          <w:p>
            <w:pPr>
              <w:jc w:val="center"/>
            </w:pPr>
            <w:r>
              <w:rPr>
                <w:b/>
                <w:color w:val="7B5C33"/>
                <w:sz w:val="19"/>
              </w:rPr>
              <w:t>Primary source</w:t>
            </w:r>
          </w:p>
        </w:tc>
        <w:tc>
          <w:tcPr>
            <w:tcW w:type="dxa" w:w="1632"/>
            <w:shd w:fill="EFE5D3"/>
            <w:tcMar>
              <w:top w:w="110" w:type="dxa"/>
              <w:start w:w="120" w:type="dxa"/>
              <w:bottom w:w="110" w:type="dxa"/>
              <w:end w:w="120" w:type="dxa"/>
            </w:tcMar>
            <w:vAlign w:val="center"/>
          </w:tcPr>
          <w:p>
            <w:pPr>
              <w:jc w:val="center"/>
            </w:pPr>
            <w:r>
              <w:rPr>
                <w:b/>
                <w:color w:val="7B5C33"/>
                <w:sz w:val="19"/>
              </w:rPr>
              <w:t>Exact pull</w:t>
            </w:r>
          </w:p>
        </w:tc>
        <w:tc>
          <w:tcPr>
            <w:tcW w:type="dxa" w:w="1632"/>
            <w:shd w:fill="EFE5D3"/>
            <w:tcMar>
              <w:top w:w="110" w:type="dxa"/>
              <w:start w:w="120" w:type="dxa"/>
              <w:bottom w:w="110" w:type="dxa"/>
              <w:end w:w="120" w:type="dxa"/>
            </w:tcMar>
            <w:vAlign w:val="center"/>
          </w:tcPr>
          <w:p>
            <w:pPr>
              <w:jc w:val="center"/>
            </w:pPr>
            <w:r>
              <w:rPr>
                <w:b/>
                <w:color w:val="7B5C33"/>
                <w:sz w:val="19"/>
              </w:rPr>
              <w:t>Mode</w:t>
            </w:r>
          </w:p>
        </w:tc>
        <w:tc>
          <w:tcPr>
            <w:tcW w:type="dxa" w:w="1632"/>
            <w:shd w:fill="EFE5D3"/>
            <w:tcMar>
              <w:top w:w="110" w:type="dxa"/>
              <w:start w:w="120" w:type="dxa"/>
              <w:bottom w:w="110" w:type="dxa"/>
              <w:end w:w="120" w:type="dxa"/>
            </w:tcMar>
            <w:vAlign w:val="center"/>
          </w:tcPr>
          <w:p>
            <w:pPr>
              <w:jc w:val="center"/>
            </w:pPr>
            <w:r>
              <w:rPr>
                <w:b/>
                <w:color w:val="7B5C33"/>
                <w:sz w:val="19"/>
              </w:rPr>
              <w:t>Target runtime</w:t>
            </w:r>
          </w:p>
        </w:tc>
        <w:tc>
          <w:tcPr>
            <w:tcW w:type="dxa" w:w="1632"/>
            <w:shd w:fill="EFE5D3"/>
            <w:tcMar>
              <w:top w:w="110" w:type="dxa"/>
              <w:start w:w="120" w:type="dxa"/>
              <w:bottom w:w="110" w:type="dxa"/>
              <w:end w:w="120" w:type="dxa"/>
            </w:tcMar>
            <w:vAlign w:val="center"/>
          </w:tcPr>
          <w:p>
            <w:pPr>
              <w:jc w:val="center"/>
            </w:pPr>
            <w:r>
              <w:rPr>
                <w:b/>
                <w:color w:val="7B5C33"/>
                <w:sz w:val="19"/>
              </w:rPr>
              <w:t>Q&amp;A angle</w:t>
            </w:r>
          </w:p>
        </w:tc>
      </w:tr>
      <w:tr>
        <w:tc>
          <w:tcPr>
            <w:tcW w:type="dxa" w:w="1800"/>
            <w:tcMar>
              <w:top w:w="80" w:type="dxa"/>
              <w:start w:w="110" w:type="dxa"/>
              <w:bottom w:w="80" w:type="dxa"/>
              <w:end w:w="110" w:type="dxa"/>
            </w:tcMar>
            <w:vAlign w:val="center"/>
          </w:tcPr>
          <w:p>
            <w:pPr>
              <w:spacing w:line="259" w:lineRule="auto"/>
            </w:pPr>
            <w:r>
              <w:t>Screwtape</w:t>
            </w:r>
          </w:p>
        </w:tc>
        <w:tc>
          <w:tcPr>
            <w:tcW w:type="dxa" w:w="2232"/>
            <w:tcMar>
              <w:top w:w="80" w:type="dxa"/>
              <w:start w:w="110" w:type="dxa"/>
              <w:bottom w:w="80" w:type="dxa"/>
              <w:end w:w="110" w:type="dxa"/>
            </w:tcMar>
            <w:vAlign w:val="center"/>
          </w:tcPr>
          <w:p>
            <w:pPr>
              <w:spacing w:line="259" w:lineRule="auto"/>
            </w:pPr>
            <w:r>
              <w:t>C.S. Lewis, The Screwtape Letters</w:t>
            </w:r>
          </w:p>
        </w:tc>
        <w:tc>
          <w:tcPr>
            <w:tcW w:type="dxa" w:w="2808"/>
            <w:tcMar>
              <w:top w:w="80" w:type="dxa"/>
              <w:start w:w="110" w:type="dxa"/>
              <w:bottom w:w="80" w:type="dxa"/>
              <w:end w:w="110" w:type="dxa"/>
            </w:tcMar>
            <w:vAlign w:val="center"/>
          </w:tcPr>
          <w:p>
            <w:pPr>
              <w:spacing w:line="259" w:lineRule="auto"/>
            </w:pPr>
            <w:r>
              <w:t>Letters 1, 2, 6, 8, 12, 15, 18, 22, 31</w:t>
            </w:r>
          </w:p>
        </w:tc>
        <w:tc>
          <w:tcPr>
            <w:tcW w:type="dxa" w:w="1440"/>
            <w:tcMar>
              <w:top w:w="80" w:type="dxa"/>
              <w:start w:w="110" w:type="dxa"/>
              <w:bottom w:w="80" w:type="dxa"/>
              <w:end w:w="110" w:type="dxa"/>
            </w:tcMar>
            <w:vAlign w:val="center"/>
          </w:tcPr>
          <w:p>
            <w:pPr>
              <w:spacing w:line="259" w:lineRule="auto"/>
              <w:jc w:val="center"/>
            </w:pPr>
            <w:r>
              <w:t>AUDIO-FRIENDLY</w:t>
            </w:r>
          </w:p>
        </w:tc>
        <w:tc>
          <w:tcPr>
            <w:tcW w:type="dxa" w:w="1512"/>
            <w:tcMar>
              <w:top w:w="80" w:type="dxa"/>
              <w:start w:w="110" w:type="dxa"/>
              <w:bottom w:w="80" w:type="dxa"/>
              <w:end w:w="110" w:type="dxa"/>
            </w:tcMar>
            <w:vAlign w:val="center"/>
          </w:tcPr>
          <w:p>
            <w:pPr>
              <w:spacing w:line="259" w:lineRule="auto"/>
              <w:jc w:val="center"/>
            </w:pPr>
            <w:r>
              <w:t>45-55 min</w:t>
            </w:r>
          </w:p>
        </w:tc>
        <w:tc>
          <w:tcPr>
            <w:tcW w:type="dxa" w:w="1584"/>
            <w:tcMar>
              <w:top w:w="80" w:type="dxa"/>
              <w:start w:w="110" w:type="dxa"/>
              <w:bottom w:w="80" w:type="dxa"/>
              <w:end w:w="110" w:type="dxa"/>
            </w:tcMar>
            <w:vAlign w:val="center"/>
          </w:tcPr>
          <w:p>
            <w:pPr>
              <w:spacing w:line="259" w:lineRule="auto"/>
            </w:pPr>
            <w:r>
              <w:t>Temptation, satire, spiritual warfare</w:t>
            </w:r>
          </w:p>
        </w:tc>
      </w:tr>
      <w:tr>
        <w:tc>
          <w:tcPr>
            <w:tcW w:type="dxa" w:w="1800"/>
            <w:tcMar>
              <w:top w:w="80" w:type="dxa"/>
              <w:start w:w="110" w:type="dxa"/>
              <w:bottom w:w="80" w:type="dxa"/>
              <w:end w:w="110" w:type="dxa"/>
            </w:tcMar>
            <w:vAlign w:val="center"/>
          </w:tcPr>
          <w:p>
            <w:pPr>
              <w:spacing w:line="259" w:lineRule="auto"/>
            </w:pPr>
            <w:r>
              <w:t>Father Brown</w:t>
            </w:r>
          </w:p>
        </w:tc>
        <w:tc>
          <w:tcPr>
            <w:tcW w:type="dxa" w:w="2232"/>
            <w:tcMar>
              <w:top w:w="80" w:type="dxa"/>
              <w:start w:w="110" w:type="dxa"/>
              <w:bottom w:w="80" w:type="dxa"/>
              <w:end w:w="110" w:type="dxa"/>
            </w:tcMar>
            <w:vAlign w:val="center"/>
          </w:tcPr>
          <w:p>
            <w:pPr>
              <w:spacing w:line="259" w:lineRule="auto"/>
            </w:pPr>
            <w:r>
              <w:t>G.K. Chesterton, "The Blue Cross"</w:t>
            </w:r>
          </w:p>
        </w:tc>
        <w:tc>
          <w:tcPr>
            <w:tcW w:type="dxa" w:w="2808"/>
            <w:tcMar>
              <w:top w:w="80" w:type="dxa"/>
              <w:start w:w="110" w:type="dxa"/>
              <w:bottom w:w="80" w:type="dxa"/>
              <w:end w:w="110" w:type="dxa"/>
            </w:tcMar>
            <w:vAlign w:val="center"/>
          </w:tcPr>
          <w:p>
            <w:pPr>
              <w:spacing w:line="259" w:lineRule="auto"/>
            </w:pPr>
            <w:r>
              <w:t>FULL story</w:t>
            </w:r>
          </w:p>
        </w:tc>
        <w:tc>
          <w:tcPr>
            <w:tcW w:type="dxa" w:w="1440"/>
            <w:tcMar>
              <w:top w:w="80" w:type="dxa"/>
              <w:start w:w="110" w:type="dxa"/>
              <w:bottom w:w="80" w:type="dxa"/>
              <w:end w:w="110" w:type="dxa"/>
            </w:tcMar>
            <w:vAlign w:val="center"/>
          </w:tcPr>
          <w:p>
            <w:pPr>
              <w:spacing w:line="259" w:lineRule="auto"/>
              <w:jc w:val="center"/>
            </w:pPr>
            <w:r>
              <w:t>AUDIO-FRIENDLY</w:t>
            </w:r>
          </w:p>
        </w:tc>
        <w:tc>
          <w:tcPr>
            <w:tcW w:type="dxa" w:w="1512"/>
            <w:tcMar>
              <w:top w:w="80" w:type="dxa"/>
              <w:start w:w="110" w:type="dxa"/>
              <w:bottom w:w="80" w:type="dxa"/>
              <w:end w:w="110" w:type="dxa"/>
            </w:tcMar>
            <w:vAlign w:val="center"/>
          </w:tcPr>
          <w:p>
            <w:pPr>
              <w:spacing w:line="259" w:lineRule="auto"/>
              <w:jc w:val="center"/>
            </w:pPr>
            <w:r>
              <w:t>45-55 min</w:t>
            </w:r>
          </w:p>
        </w:tc>
        <w:tc>
          <w:tcPr>
            <w:tcW w:type="dxa" w:w="1584"/>
            <w:tcMar>
              <w:top w:w="80" w:type="dxa"/>
              <w:start w:w="110" w:type="dxa"/>
              <w:bottom w:w="80" w:type="dxa"/>
              <w:end w:w="110" w:type="dxa"/>
            </w:tcMar>
            <w:vAlign w:val="center"/>
          </w:tcPr>
          <w:p>
            <w:pPr>
              <w:spacing w:line="259" w:lineRule="auto"/>
            </w:pPr>
            <w:r>
              <w:t>Mystery, holiness, human nature</w:t>
            </w:r>
          </w:p>
        </w:tc>
      </w:tr>
      <w:tr>
        <w:tc>
          <w:tcPr>
            <w:tcW w:type="dxa" w:w="1800"/>
            <w:tcMar>
              <w:top w:w="80" w:type="dxa"/>
              <w:start w:w="110" w:type="dxa"/>
              <w:bottom w:w="80" w:type="dxa"/>
              <w:end w:w="110" w:type="dxa"/>
            </w:tcMar>
            <w:vAlign w:val="center"/>
          </w:tcPr>
          <w:p>
            <w:pPr>
              <w:spacing w:line="259" w:lineRule="auto"/>
            </w:pPr>
            <w:r>
              <w:t>Seven Last Words</w:t>
            </w:r>
          </w:p>
        </w:tc>
        <w:tc>
          <w:tcPr>
            <w:tcW w:type="dxa" w:w="2232"/>
            <w:tcMar>
              <w:top w:w="80" w:type="dxa"/>
              <w:start w:w="110" w:type="dxa"/>
              <w:bottom w:w="80" w:type="dxa"/>
              <w:end w:w="110" w:type="dxa"/>
            </w:tcMar>
            <w:vAlign w:val="center"/>
          </w:tcPr>
          <w:p>
            <w:pPr>
              <w:spacing w:line="259" w:lineRule="auto"/>
            </w:pPr>
            <w:r>
              <w:t>Fulton Sheen, Seven Last Words</w:t>
            </w:r>
          </w:p>
        </w:tc>
        <w:tc>
          <w:tcPr>
            <w:tcW w:type="dxa" w:w="2808"/>
            <w:tcMar>
              <w:top w:w="80" w:type="dxa"/>
              <w:start w:w="110" w:type="dxa"/>
              <w:bottom w:w="80" w:type="dxa"/>
              <w:end w:w="110" w:type="dxa"/>
            </w:tcMar>
            <w:vAlign w:val="center"/>
          </w:tcPr>
          <w:p>
            <w:pPr>
              <w:spacing w:line="259" w:lineRule="auto"/>
            </w:pPr>
            <w:r>
              <w:t>The seven named meditations / chapters</w:t>
            </w:r>
          </w:p>
        </w:tc>
        <w:tc>
          <w:tcPr>
            <w:tcW w:type="dxa" w:w="1440"/>
            <w:tcMar>
              <w:top w:w="80" w:type="dxa"/>
              <w:start w:w="110" w:type="dxa"/>
              <w:bottom w:w="80" w:type="dxa"/>
              <w:end w:w="110" w:type="dxa"/>
            </w:tcMar>
            <w:vAlign w:val="center"/>
          </w:tcPr>
          <w:p>
            <w:pPr>
              <w:spacing w:line="259" w:lineRule="auto"/>
              <w:jc w:val="center"/>
            </w:pPr>
            <w:r>
              <w:t>AUDIO-FRIENDLY</w:t>
            </w:r>
          </w:p>
        </w:tc>
        <w:tc>
          <w:tcPr>
            <w:tcW w:type="dxa" w:w="1512"/>
            <w:tcMar>
              <w:top w:w="80" w:type="dxa"/>
              <w:start w:w="110" w:type="dxa"/>
              <w:bottom w:w="80" w:type="dxa"/>
              <w:end w:w="110" w:type="dxa"/>
            </w:tcMar>
            <w:vAlign w:val="center"/>
          </w:tcPr>
          <w:p>
            <w:pPr>
              <w:spacing w:line="259" w:lineRule="auto"/>
              <w:jc w:val="center"/>
            </w:pPr>
            <w:r>
              <w:t>40-55 min</w:t>
            </w:r>
          </w:p>
        </w:tc>
        <w:tc>
          <w:tcPr>
            <w:tcW w:type="dxa" w:w="1584"/>
            <w:tcMar>
              <w:top w:w="80" w:type="dxa"/>
              <w:start w:w="110" w:type="dxa"/>
              <w:bottom w:w="80" w:type="dxa"/>
              <w:end w:w="110" w:type="dxa"/>
            </w:tcMar>
            <w:vAlign w:val="center"/>
          </w:tcPr>
          <w:p>
            <w:pPr>
              <w:spacing w:line="259" w:lineRule="auto"/>
            </w:pPr>
            <w:r>
              <w:t>Passion, preaching, audience devotion</w:t>
            </w:r>
          </w:p>
        </w:tc>
      </w:tr>
      <w:tr>
        <w:tc>
          <w:tcPr>
            <w:tcW w:type="dxa" w:w="1800"/>
            <w:tcMar>
              <w:top w:w="80" w:type="dxa"/>
              <w:start w:w="110" w:type="dxa"/>
              <w:bottom w:w="80" w:type="dxa"/>
              <w:end w:w="110" w:type="dxa"/>
            </w:tcMar>
            <w:vAlign w:val="center"/>
          </w:tcPr>
          <w:p>
            <w:pPr>
              <w:spacing w:line="259" w:lineRule="auto"/>
            </w:pPr>
            <w:r>
              <w:t>Chesterton essays</w:t>
            </w:r>
          </w:p>
        </w:tc>
        <w:tc>
          <w:tcPr>
            <w:tcW w:type="dxa" w:w="2232"/>
            <w:tcMar>
              <w:top w:w="80" w:type="dxa"/>
              <w:start w:w="110" w:type="dxa"/>
              <w:bottom w:w="80" w:type="dxa"/>
              <w:end w:w="110" w:type="dxa"/>
            </w:tcMar>
            <w:vAlign w:val="center"/>
          </w:tcPr>
          <w:p>
            <w:pPr>
              <w:spacing w:line="259" w:lineRule="auto"/>
            </w:pPr>
            <w:r>
              <w:t>Orthodoxy + "A Piece of Chalk"</w:t>
            </w:r>
          </w:p>
        </w:tc>
        <w:tc>
          <w:tcPr>
            <w:tcW w:type="dxa" w:w="2808"/>
            <w:tcMar>
              <w:top w:w="80" w:type="dxa"/>
              <w:start w:w="110" w:type="dxa"/>
              <w:bottom w:w="80" w:type="dxa"/>
              <w:end w:w="110" w:type="dxa"/>
            </w:tcMar>
            <w:vAlign w:val="center"/>
          </w:tcPr>
          <w:p>
            <w:pPr>
              <w:spacing w:line="259" w:lineRule="auto"/>
            </w:pPr>
            <w:r>
              <w:t>"The Maniac," "The Suicide of Thought," "The Ethics of Elfland," plus "A Piece of Chalk"</w:t>
            </w:r>
          </w:p>
        </w:tc>
        <w:tc>
          <w:tcPr>
            <w:tcW w:type="dxa" w:w="1440"/>
            <w:tcMar>
              <w:top w:w="80" w:type="dxa"/>
              <w:start w:w="110" w:type="dxa"/>
              <w:bottom w:w="80" w:type="dxa"/>
              <w:end w:w="110" w:type="dxa"/>
            </w:tcMar>
            <w:vAlign w:val="center"/>
          </w:tcPr>
          <w:p>
            <w:pPr>
              <w:spacing w:line="259" w:lineRule="auto"/>
              <w:jc w:val="center"/>
            </w:pPr>
            <w:r>
              <w:t>EXCERPT</w:t>
            </w:r>
          </w:p>
        </w:tc>
        <w:tc>
          <w:tcPr>
            <w:tcW w:type="dxa" w:w="1512"/>
            <w:tcMar>
              <w:top w:w="80" w:type="dxa"/>
              <w:start w:w="110" w:type="dxa"/>
              <w:bottom w:w="80" w:type="dxa"/>
              <w:end w:w="110" w:type="dxa"/>
            </w:tcMar>
            <w:vAlign w:val="center"/>
          </w:tcPr>
          <w:p>
            <w:pPr>
              <w:spacing w:line="259" w:lineRule="auto"/>
              <w:jc w:val="center"/>
            </w:pPr>
            <w:r>
              <w:t>42-55 min</w:t>
            </w:r>
          </w:p>
        </w:tc>
        <w:tc>
          <w:tcPr>
            <w:tcW w:type="dxa" w:w="1584"/>
            <w:tcMar>
              <w:top w:w="80" w:type="dxa"/>
              <w:start w:w="110" w:type="dxa"/>
              <w:bottom w:w="80" w:type="dxa"/>
              <w:end w:w="110" w:type="dxa"/>
            </w:tcMar>
            <w:vAlign w:val="center"/>
          </w:tcPr>
          <w:p>
            <w:pPr>
              <w:spacing w:line="259" w:lineRule="auto"/>
            </w:pPr>
            <w:r>
              <w:t>Paradox, sanity, imagination</w:t>
            </w:r>
          </w:p>
        </w:tc>
      </w:tr>
      <w:tr>
        <w:tc>
          <w:tcPr>
            <w:tcW w:type="dxa" w:w="1800"/>
            <w:tcMar>
              <w:top w:w="80" w:type="dxa"/>
              <w:start w:w="110" w:type="dxa"/>
              <w:bottom w:w="80" w:type="dxa"/>
              <w:end w:w="110" w:type="dxa"/>
            </w:tcMar>
            <w:vAlign w:val="center"/>
          </w:tcPr>
          <w:p>
            <w:pPr>
              <w:spacing w:line="259" w:lineRule="auto"/>
            </w:pPr>
            <w:r>
              <w:t>Flannery</w:t>
            </w:r>
          </w:p>
        </w:tc>
        <w:tc>
          <w:tcPr>
            <w:tcW w:type="dxa" w:w="2232"/>
            <w:tcMar>
              <w:top w:w="80" w:type="dxa"/>
              <w:start w:w="110" w:type="dxa"/>
              <w:bottom w:w="80" w:type="dxa"/>
              <w:end w:w="110" w:type="dxa"/>
            </w:tcMar>
            <w:vAlign w:val="center"/>
          </w:tcPr>
          <w:p>
            <w:pPr>
              <w:spacing w:line="259" w:lineRule="auto"/>
            </w:pPr>
            <w:r>
              <w:t>Flannery O'Connor, "Revelation"</w:t>
            </w:r>
          </w:p>
        </w:tc>
        <w:tc>
          <w:tcPr>
            <w:tcW w:type="dxa" w:w="2808"/>
            <w:tcMar>
              <w:top w:w="80" w:type="dxa"/>
              <w:start w:w="110" w:type="dxa"/>
              <w:bottom w:w="80" w:type="dxa"/>
              <w:end w:w="110" w:type="dxa"/>
            </w:tcMar>
            <w:vAlign w:val="center"/>
          </w:tcPr>
          <w:p>
            <w:pPr>
              <w:spacing w:line="259" w:lineRule="auto"/>
            </w:pPr>
            <w:r>
              <w:t>FULL story</w:t>
            </w:r>
          </w:p>
        </w:tc>
        <w:tc>
          <w:tcPr>
            <w:tcW w:type="dxa" w:w="1440"/>
            <w:tcMar>
              <w:top w:w="80" w:type="dxa"/>
              <w:start w:w="110" w:type="dxa"/>
              <w:bottom w:w="80" w:type="dxa"/>
              <w:end w:w="110" w:type="dxa"/>
            </w:tcMar>
            <w:vAlign w:val="center"/>
          </w:tcPr>
          <w:p>
            <w:pPr>
              <w:spacing w:line="259" w:lineRule="auto"/>
              <w:jc w:val="center"/>
            </w:pPr>
            <w:r>
              <w:t>AUDIO-FRIENDLY</w:t>
            </w:r>
          </w:p>
        </w:tc>
        <w:tc>
          <w:tcPr>
            <w:tcW w:type="dxa" w:w="1512"/>
            <w:tcMar>
              <w:top w:w="80" w:type="dxa"/>
              <w:start w:w="110" w:type="dxa"/>
              <w:bottom w:w="80" w:type="dxa"/>
              <w:end w:w="110" w:type="dxa"/>
            </w:tcMar>
            <w:vAlign w:val="center"/>
          </w:tcPr>
          <w:p>
            <w:pPr>
              <w:spacing w:line="259" w:lineRule="auto"/>
              <w:jc w:val="center"/>
            </w:pPr>
            <w:r>
              <w:t>45-55 min</w:t>
            </w:r>
          </w:p>
        </w:tc>
        <w:tc>
          <w:tcPr>
            <w:tcW w:type="dxa" w:w="1584"/>
            <w:tcMar>
              <w:top w:w="80" w:type="dxa"/>
              <w:start w:w="110" w:type="dxa"/>
              <w:bottom w:w="80" w:type="dxa"/>
              <w:end w:w="110" w:type="dxa"/>
            </w:tcMar>
            <w:vAlign w:val="center"/>
          </w:tcPr>
          <w:p>
            <w:pPr>
              <w:spacing w:line="259" w:lineRule="auto"/>
            </w:pPr>
            <w:r>
              <w:t>Grace, judgment, grotesque comedy</w:t>
            </w:r>
          </w:p>
        </w:tc>
      </w:tr>
      <w:tr>
        <w:tc>
          <w:tcPr>
            <w:tcW w:type="dxa" w:w="1800"/>
            <w:tcMar>
              <w:top w:w="80" w:type="dxa"/>
              <w:start w:w="110" w:type="dxa"/>
              <w:bottom w:w="80" w:type="dxa"/>
              <w:end w:w="110" w:type="dxa"/>
            </w:tcMar>
            <w:vAlign w:val="center"/>
          </w:tcPr>
          <w:p>
            <w:pPr>
              <w:spacing w:line="259" w:lineRule="auto"/>
            </w:pPr>
            <w:r>
              <w:t>Conversion</w:t>
            </w:r>
          </w:p>
        </w:tc>
        <w:tc>
          <w:tcPr>
            <w:tcW w:type="dxa" w:w="2232"/>
            <w:tcMar>
              <w:top w:w="80" w:type="dxa"/>
              <w:start w:w="110" w:type="dxa"/>
              <w:bottom w:w="80" w:type="dxa"/>
              <w:end w:w="110" w:type="dxa"/>
            </w:tcMar>
            <w:vAlign w:val="center"/>
          </w:tcPr>
          <w:p>
            <w:pPr>
              <w:spacing w:line="259" w:lineRule="auto"/>
            </w:pPr>
            <w:r>
              <w:t>Augustine, Confessions</w:t>
            </w:r>
          </w:p>
        </w:tc>
        <w:tc>
          <w:tcPr>
            <w:tcW w:type="dxa" w:w="2808"/>
            <w:tcMar>
              <w:top w:w="80" w:type="dxa"/>
              <w:start w:w="110" w:type="dxa"/>
              <w:bottom w:w="80" w:type="dxa"/>
              <w:end w:w="110" w:type="dxa"/>
            </w:tcMar>
            <w:vAlign w:val="center"/>
          </w:tcPr>
          <w:p>
            <w:pPr>
              <w:spacing w:line="259" w:lineRule="auto"/>
            </w:pPr>
            <w:r>
              <w:t>Book VIII, chapters 5-12</w:t>
            </w:r>
          </w:p>
        </w:tc>
        <w:tc>
          <w:tcPr>
            <w:tcW w:type="dxa" w:w="1440"/>
            <w:tcMar>
              <w:top w:w="80" w:type="dxa"/>
              <w:start w:w="110" w:type="dxa"/>
              <w:bottom w:w="80" w:type="dxa"/>
              <w:end w:w="110" w:type="dxa"/>
            </w:tcMar>
            <w:vAlign w:val="center"/>
          </w:tcPr>
          <w:p>
            <w:pPr>
              <w:spacing w:line="259" w:lineRule="auto"/>
              <w:jc w:val="center"/>
            </w:pPr>
            <w:r>
              <w:t>PDF-ANCHOR</w:t>
            </w:r>
          </w:p>
        </w:tc>
        <w:tc>
          <w:tcPr>
            <w:tcW w:type="dxa" w:w="1512"/>
            <w:tcMar>
              <w:top w:w="80" w:type="dxa"/>
              <w:start w:w="110" w:type="dxa"/>
              <w:bottom w:w="80" w:type="dxa"/>
              <w:end w:w="110" w:type="dxa"/>
            </w:tcMar>
            <w:vAlign w:val="center"/>
          </w:tcPr>
          <w:p>
            <w:pPr>
              <w:spacing w:line="259" w:lineRule="auto"/>
              <w:jc w:val="center"/>
            </w:pPr>
            <w:r>
              <w:t>30-40 min</w:t>
            </w:r>
          </w:p>
        </w:tc>
        <w:tc>
          <w:tcPr>
            <w:tcW w:type="dxa" w:w="1584"/>
            <w:tcMar>
              <w:top w:w="80" w:type="dxa"/>
              <w:start w:w="110" w:type="dxa"/>
              <w:bottom w:w="80" w:type="dxa"/>
              <w:end w:w="110" w:type="dxa"/>
            </w:tcMar>
            <w:vAlign w:val="center"/>
          </w:tcPr>
          <w:p>
            <w:pPr>
              <w:spacing w:line="259" w:lineRule="auto"/>
            </w:pPr>
            <w:r>
              <w:t>Conversion, desire, restlessness</w:t>
            </w:r>
          </w:p>
        </w:tc>
      </w:tr>
    </w:tbl>
    <w:p/>
    <w:p>
      <w:pPr>
        <w:pStyle w:val="Heading1"/>
      </w:pPr>
      <w:r>
        <w:t>1. The Screwtape Letters</w:t>
      </w:r>
    </w:p>
    <w:p>
      <w:pPr>
        <w:pStyle w:val="Subtitle"/>
      </w:pPr>
      <w:r>
        <w:t>Flagship solo program; easiest to pull from audiobook chapter menus.</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C.S. Lewis, The Screwtape Letters</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Letters 1, 2, 6, 8, 12, 15, 18, 22, and 31. In most audiobook editions each letter is its own chapter or track. If your edition includes an introduction, skip publisher front matter and cue from the first line of each selected letter.</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45-55 minutes performed. If the room is lively and you want more Q&amp;A, cut Letter 22 first. If you need a slightly darker finish, always keep Letter 31.</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This gives you a clean arc: temptation basics, prayer and distraction, oscillation and suffering, spiritual vanity, false pleasure, and the devastating final reckoning. It is recognizably Lewis, dramatically varied, and modular enough to trim on the fly.</w:t>
            </w:r>
          </w:p>
        </w:tc>
      </w:tr>
    </w:tbl>
    <w:p/>
    <w:p>
      <w:pPr>
        <w:pStyle w:val="Heading2"/>
      </w:pPr>
      <w:r>
        <w:t>Source-routing note</w:t>
      </w:r>
    </w:p>
    <w:p>
      <w:pPr>
        <w:spacing w:after="160"/>
      </w:pPr>
      <w:r>
        <w:t>AUDIO-FRIENDLY: look for an edition where each letter is chapterized individually. If you are using a PDF or ebook instead, pull by letter number, not page number. For a text-to-audio workflow, create one audio prompt per letter and insert your own transition cue between letters so the tone can reset.</w:t>
      </w:r>
    </w:p>
    <w:p>
      <w:pPr>
        <w:pStyle w:val="Heading2"/>
      </w:pPr>
      <w:r>
        <w:t>Recommended Q&amp;A lane</w:t>
      </w:r>
    </w:p>
    <w:p>
      <w:r>
        <w:t>Invite discussion on why satire works so well for Christian material, how Lewis uses irony without losing seriousness, and why audiences recognize themselves in Screwtape more quickly than in many straightforward apologetics texts.</w:t>
      </w:r>
    </w:p>
    <w:p>
      <w:pPr>
        <w:pStyle w:val="Heading2"/>
      </w:pPr>
      <w:r>
        <w:t>Optional trims or alternates</w:t>
      </w:r>
    </w:p>
    <w:p>
      <w:pPr>
        <w:pStyle w:val="ListBullet"/>
      </w:pPr>
      <w:r>
        <w:t>Shorter 35-40 minute set: Letters 1, 2, 6, 8, 12, 31.</w:t>
      </w:r>
    </w:p>
    <w:p>
      <w:pPr>
        <w:pStyle w:val="ListBullet"/>
      </w:pPr>
      <w:r>
        <w:t>Longer but still safe 55-60 minute set: add Letter 17 or Letter 25 if your pacing is naturally quick.</w:t>
      </w:r>
    </w:p>
    <w:p>
      <w:pPr>
        <w:pStyle w:val="Heading1"/>
      </w:pPr>
      <w:r>
        <w:t>2. Father Brown: The Blue Cross</w:t>
      </w:r>
    </w:p>
    <w:p>
      <w:pPr>
        <w:pStyle w:val="Subtitle"/>
      </w:pPr>
      <w:r>
        <w:t>Best next narrative program after Screwtape; one complete story, no excerpt stitching required.</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G.K. Chesterton, "The Blue Cross" from The Innocence of Father Brown</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the FULL story. In audiobook editions, it is usually a discrete track or chapter named "The Blue Cross." In text editions, pull the story from its title through the closing paragraph; no internal cuts are required unless you are tightening for time.</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45-55 minutes performed. In a faster room it may land closer to 40-45. Leave it intact if possible; its power comes from its cumulative misdirection.</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This is a nearly ideal live piece: clear plot, quick visual turns, multiple voices, philosophical undercurrent, and a final reveal that rewards patient listening. It also introduces Chesterton in a way that is accessible to parish and general audiences alike.</w:t>
            </w:r>
          </w:p>
        </w:tc>
      </w:tr>
    </w:tbl>
    <w:p/>
    <w:p>
      <w:pPr>
        <w:pStyle w:val="Heading2"/>
      </w:pPr>
      <w:r>
        <w:t>Source-routing note</w:t>
      </w:r>
    </w:p>
    <w:p>
      <w:pPr>
        <w:spacing w:after="160"/>
      </w:pPr>
      <w:r>
        <w:t>AUDIO-FRIENDLY: choose a complete Father Brown audiobook where stories are individually labeled. PDF-ANCHOR: search within the text for the story title "The Blue Cross" and use the full story boundary, not the surrounding table of contents or editor preface.</w:t>
      </w:r>
    </w:p>
    <w:p>
      <w:pPr>
        <w:pStyle w:val="Heading2"/>
      </w:pPr>
      <w:r>
        <w:t>Recommended Q&amp;A lane</w:t>
      </w:r>
    </w:p>
    <w:p>
      <w:r>
        <w:t>After the reading, invite questions on why Father Brown solves crimes by understanding sin rather than by collecting clues alone; audiences usually respond strongly to the moral psychology of the story.</w:t>
      </w:r>
    </w:p>
    <w:p>
      <w:pPr>
        <w:pStyle w:val="Heading2"/>
      </w:pPr>
      <w:r>
        <w:t>Optional trims or alternates</w:t>
      </w:r>
    </w:p>
    <w:p>
      <w:pPr>
        <w:pStyle w:val="ListBullet"/>
      </w:pPr>
      <w:r>
        <w:t>If you eventually want a two-story evening, pair "The Blue Cross" with a shorter secondary Father Brown story and keep the total text under 55 minutes.</w:t>
      </w:r>
    </w:p>
    <w:p>
      <w:pPr>
        <w:pStyle w:val="ListBullet"/>
      </w:pPr>
      <w:r>
        <w:t>Do not lead with "The Invisible Man" before you have already established Father Brown with one simpler story; "The Blue Cross" is the better first-entry program.</w:t>
      </w:r>
    </w:p>
    <w:p>
      <w:pPr>
        <w:pStyle w:val="Heading1"/>
      </w:pPr>
      <w:r>
        <w:t>3. The Seven Last Words of Christ</w:t>
      </w:r>
    </w:p>
    <w:p>
      <w:pPr>
        <w:pStyle w:val="Subtitle"/>
      </w:pPr>
      <w:r>
        <w:t>Seasonal parish offering with built-in Lent and Holy Week demand.</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Fulton J. Sheen, Seven Last Words</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the seven meditations corresponding to the seven sayings from the Cross: "Father, forgive them..."; "This day thou shalt be with Me in Paradise"; "Woman, behold thy son..."; "My God, My God, why hast Thou forsaken Me?"; "I thirst"; "It is consummated"; "Father, into Thy hands I commend My spirit." In most editions these are the chapter titles or chapter anchors.</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40-55 minutes performed. Because Q&amp;A after a Passion program may be shorter or more reflective, you can safely run this closer to 50-55 than some other evenings.</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The material already carries rhetorical lift, emotional shape, and devotional gravity. It also makes strong room for silence between sections, which gives the evening liturgical weight without needing elaborate staging.</w:t>
            </w:r>
          </w:p>
        </w:tc>
      </w:tr>
    </w:tbl>
    <w:p/>
    <w:p>
      <w:pPr>
        <w:pStyle w:val="Heading2"/>
      </w:pPr>
      <w:r>
        <w:t>Source-routing note</w:t>
      </w:r>
    </w:p>
    <w:p>
      <w:pPr>
        <w:spacing w:after="160"/>
      </w:pPr>
      <w:r>
        <w:t>AUDIO-FRIENDLY: use an audiobook or text edition where the seven sayings are broken into separate chapters. If your edition has an introduction, omit it unless you need a brief opening frame. PDF-ANCHOR: search by the exact saying heading for each meditation and build your cue list from those headings only.</w:t>
      </w:r>
    </w:p>
    <w:p>
      <w:pPr>
        <w:pStyle w:val="Heading2"/>
      </w:pPr>
      <w:r>
        <w:t>Recommended Q&amp;A lane</w:t>
      </w:r>
    </w:p>
    <w:p>
      <w:r>
        <w:t>Good Q&amp;A lanes include Sheen as performer-preacher, the challenge of voicing devotional prose without overplaying it, and how audiences hear biblical words differently once they are framed by meditation.</w:t>
      </w:r>
    </w:p>
    <w:p>
      <w:pPr>
        <w:pStyle w:val="Heading2"/>
      </w:pPr>
      <w:r>
        <w:t>Optional trims or alternates</w:t>
      </w:r>
    </w:p>
    <w:p>
      <w:pPr>
        <w:pStyle w:val="ListBullet"/>
      </w:pPr>
      <w:r>
        <w:t>For a parish evening with music or prayer built in, use only sayings 1, 2, 4, and 7 and let the rest of the hour breathe.</w:t>
      </w:r>
    </w:p>
    <w:p>
      <w:pPr>
        <w:pStyle w:val="ListBullet"/>
      </w:pPr>
      <w:r>
        <w:t>Do not rely on page numbers here; chapter titles are the only stable cueing method across editions.</w:t>
      </w:r>
    </w:p>
    <w:p>
      <w:pPr>
        <w:pStyle w:val="Heading1"/>
      </w:pPr>
      <w:r>
        <w:t>4. Chesterton: Paradox and Wonder</w:t>
      </w:r>
    </w:p>
    <w:p>
      <w:pPr>
        <w:pStyle w:val="Subtitle"/>
      </w:pPr>
      <w:r>
        <w:t>Essay program built from exact chapters that are easy to identify in print or audio.</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G.K. Chesterton, Orthodoxy, plus the essay "A Piece of Chalk"</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the chapters "The Maniac," "The Suicide of Thought," and "The Ethics of Elfland" from Orthodoxy, then close with the complete essay "A Piece of Chalk." These are stable titles across editions and can be pulled individually from a PDF or audiobook chapter menu.</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42-55 minutes performed. If you need a tighter intellectual set, use only "The Maniac" and "The Ethics of Elfland" plus "A Piece of Chalk."</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This sequence gives you a carefully rising intellectual and emotional curve: the rationalist mind gone wrong, the collapse of thought into self-devouring skepticism, the recovery of wonder, and finally a shorter lyrical close that lands with warmth instead of abstraction.</w:t>
            </w:r>
          </w:p>
        </w:tc>
      </w:tr>
    </w:tbl>
    <w:p/>
    <w:p>
      <w:pPr>
        <w:pStyle w:val="Heading2"/>
      </w:pPr>
      <w:r>
        <w:t>Source-routing note</w:t>
      </w:r>
    </w:p>
    <w:p>
      <w:pPr>
        <w:spacing w:after="160"/>
      </w:pPr>
      <w:r>
        <w:t>EXCERPT + PDF-ANCHOR: do not try to use random page ranges. Pull by named chapter title. AUDIO-FRIENDLY only if your edition of Orthodoxy is chapterized by the original chapter names. If the audiobook lumps multiple chapters together, cue from the spoken heading before each chapter and stop at the next heading.</w:t>
      </w:r>
    </w:p>
    <w:p>
      <w:pPr>
        <w:pStyle w:val="Heading2"/>
      </w:pPr>
      <w:r>
        <w:t>Recommended Q&amp;A lane</w:t>
      </w:r>
    </w:p>
    <w:p>
      <w:r>
        <w:t>Invite questions on why Chesterton sounds unexpectedly modern, how paradox functions orally rather than silently on the page, and why audiences laugh even when the subject is metaphysical.</w:t>
      </w:r>
    </w:p>
    <w:p>
      <w:pPr>
        <w:pStyle w:val="Heading2"/>
      </w:pPr>
      <w:r>
        <w:t>Optional trims or alternates</w:t>
      </w:r>
    </w:p>
    <w:p>
      <w:pPr>
        <w:pStyle w:val="ListBullet"/>
      </w:pPr>
      <w:r>
        <w:t>Best 35-40 minute trim: "The Maniac" + "A Piece of Chalk."</w:t>
      </w:r>
    </w:p>
    <w:p>
      <w:pPr>
        <w:pStyle w:val="ListBullet"/>
      </w:pPr>
      <w:r>
        <w:t>If you want a denser academic version, replace "A Piece of Chalk" with selections from "The Flag of the World," but that is the less bookable version for mixed audiences.</w:t>
      </w:r>
    </w:p>
    <w:p>
      <w:pPr>
        <w:pStyle w:val="Heading1"/>
      </w:pPr>
      <w:r>
        <w:t>5. Flannery O'Connor: Revelation</w:t>
      </w:r>
    </w:p>
    <w:p>
      <w:pPr>
        <w:pStyle w:val="Subtitle"/>
      </w:pPr>
      <w:r>
        <w:t>Prestige literary program for adult audiences; easiest if left intact as a full story.</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Flannery O'Connor, "Revelation"</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the FULL story "Revelation." Do not excerpt it unless there is an unavoidable time constraint. The story gains force through cumulative discomfort, comic escalation, and its ending vision.</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45-55 minutes performed. If your style on O'Connor is measured, budget closer to 50. Because a Q&amp;A almost inevitably follows, do not stack another reading after it.</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This is one of the strongest serious-literary offerings in the repertoire. It has a commanding central voice, memorable secondary characters, and a final movement that invites real conversation instead of simple admiration.</w:t>
            </w:r>
          </w:p>
        </w:tc>
      </w:tr>
    </w:tbl>
    <w:p/>
    <w:p>
      <w:pPr>
        <w:pStyle w:val="Heading2"/>
      </w:pPr>
      <w:r>
        <w:t>Source-routing note</w:t>
      </w:r>
    </w:p>
    <w:p>
      <w:pPr>
        <w:spacing w:after="160"/>
      </w:pPr>
      <w:r>
        <w:t>AUDIO-FRIENDLY: many complete O'Connor collections chapterize by story title, which makes this straightforward. PDF-ANCHOR: search for the story title and pull from the title line through the last paragraph. Remove editor introductions, notes, and collection front matter.</w:t>
      </w:r>
    </w:p>
    <w:p>
      <w:pPr>
        <w:pStyle w:val="Heading2"/>
      </w:pPr>
      <w:r>
        <w:t>Recommended Q&amp;A lane</w:t>
      </w:r>
    </w:p>
    <w:p>
      <w:r>
        <w:t>The strongest discussion lane is grace arriving through humiliation. Also useful: why grotesque comedy works live, and what changes when listeners hear O'Connor aloud instead of studying her in a classroom.</w:t>
      </w:r>
    </w:p>
    <w:p>
      <w:pPr>
        <w:pStyle w:val="Heading2"/>
      </w:pPr>
      <w:r>
        <w:t>Optional trims or alternates</w:t>
      </w:r>
    </w:p>
    <w:p>
      <w:pPr>
        <w:pStyle w:val="ListBullet"/>
      </w:pPr>
      <w:r>
        <w:t>Alternate full-story program: "A Good Man Is Hard to Find" for a slightly more recognizable title and a somewhat broader audience draw.</w:t>
      </w:r>
    </w:p>
    <w:p>
      <w:pPr>
        <w:pStyle w:val="ListBullet"/>
      </w:pPr>
      <w:r>
        <w:t>If a venue is uneasy about mature or abrasive material, do not force O'Connor as the first booking; lead with Chesterton or Father Brown instead.</w:t>
      </w:r>
    </w:p>
    <w:p>
      <w:pPr>
        <w:pStyle w:val="Heading1"/>
      </w:pPr>
      <w:r>
        <w:t>6. Conversion: Augustine</w:t>
      </w:r>
    </w:p>
    <w:p>
      <w:pPr>
        <w:pStyle w:val="Subtitle"/>
      </w:pPr>
      <w:r>
        <w:t>Most reliable conversion-night selection because the textual boundaries are exact and famous.</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232"/>
        <w:gridCol w:w="7416"/>
      </w:tblGrid>
      <w:tr>
        <w:tc>
          <w:tcPr>
            <w:tcW w:type="dxa" w:w="4896"/>
            <w:shd w:fill="F8F3EA"/>
            <w:tcMar>
              <w:top w:w="90" w:type="dxa"/>
              <w:start w:w="120" w:type="dxa"/>
              <w:bottom w:w="90" w:type="dxa"/>
              <w:end w:w="120" w:type="dxa"/>
            </w:tcMar>
            <w:vAlign w:val="center"/>
          </w:tcPr>
          <w:p>
            <w:pPr>
              <w:jc w:val="left"/>
            </w:pPr>
            <w:r>
              <w:rPr>
                <w:b/>
                <w:color w:val="7B5C33"/>
                <w:sz w:val="19"/>
              </w:rPr>
              <w:t>Primary source</w:t>
            </w:r>
          </w:p>
        </w:tc>
        <w:tc>
          <w:tcPr>
            <w:tcW w:type="dxa" w:w="4896"/>
            <w:tcMar>
              <w:top w:w="90" w:type="dxa"/>
              <w:start w:w="120" w:type="dxa"/>
              <w:bottom w:w="90" w:type="dxa"/>
              <w:end w:w="120" w:type="dxa"/>
            </w:tcMar>
            <w:vAlign w:val="center"/>
          </w:tcPr>
          <w:p>
            <w:pPr>
              <w:spacing w:line="264" w:lineRule="auto"/>
            </w:pPr>
            <w:r>
              <w:t>St. Augustine, Confessions</w:t>
            </w:r>
          </w:p>
        </w:tc>
      </w:tr>
      <w:tr>
        <w:tc>
          <w:tcPr>
            <w:tcW w:type="dxa" w:w="4896"/>
            <w:shd w:fill="F8F3EA"/>
            <w:tcMar>
              <w:top w:w="90" w:type="dxa"/>
              <w:start w:w="120" w:type="dxa"/>
              <w:bottom w:w="90" w:type="dxa"/>
              <w:end w:w="120" w:type="dxa"/>
            </w:tcMar>
            <w:vAlign w:val="center"/>
          </w:tcPr>
          <w:p>
            <w:pPr>
              <w:jc w:val="left"/>
            </w:pPr>
            <w:r>
              <w:rPr>
                <w:b/>
                <w:color w:val="7B5C33"/>
                <w:sz w:val="19"/>
              </w:rPr>
              <w:t>Exact selection</w:t>
            </w:r>
          </w:p>
        </w:tc>
        <w:tc>
          <w:tcPr>
            <w:tcW w:type="dxa" w:w="4896"/>
            <w:tcMar>
              <w:top w:w="90" w:type="dxa"/>
              <w:start w:w="120" w:type="dxa"/>
              <w:bottom w:w="90" w:type="dxa"/>
              <w:end w:w="120" w:type="dxa"/>
            </w:tcMar>
            <w:vAlign w:val="center"/>
          </w:tcPr>
          <w:p>
            <w:pPr>
              <w:spacing w:line="264" w:lineRule="auto"/>
            </w:pPr>
            <w:r>
              <w:t>Use Book VIII, chapters 5 through 12. This is the conversion movement: the conflict of the divided will, the garden struggle, the voice of "take and read," and the resolution. In some editions the chapter numbering uses Roman numerals; match by Book VIII and the garden scene rather than by modern page count.</w:t>
            </w:r>
          </w:p>
        </w:tc>
      </w:tr>
      <w:tr>
        <w:tc>
          <w:tcPr>
            <w:tcW w:type="dxa" w:w="4896"/>
            <w:shd w:fill="F8F3EA"/>
            <w:tcMar>
              <w:top w:w="90" w:type="dxa"/>
              <w:start w:w="120" w:type="dxa"/>
              <w:bottom w:w="90" w:type="dxa"/>
              <w:end w:w="120" w:type="dxa"/>
            </w:tcMar>
            <w:vAlign w:val="center"/>
          </w:tcPr>
          <w:p>
            <w:pPr>
              <w:jc w:val="left"/>
            </w:pPr>
            <w:r>
              <w:rPr>
                <w:b/>
                <w:color w:val="7B5C33"/>
                <w:sz w:val="19"/>
              </w:rPr>
              <w:t>Performance target</w:t>
            </w:r>
          </w:p>
        </w:tc>
        <w:tc>
          <w:tcPr>
            <w:tcW w:type="dxa" w:w="4896"/>
            <w:tcMar>
              <w:top w:w="90" w:type="dxa"/>
              <w:start w:w="120" w:type="dxa"/>
              <w:bottom w:w="90" w:type="dxa"/>
              <w:end w:w="120" w:type="dxa"/>
            </w:tcMar>
            <w:vAlign w:val="center"/>
          </w:tcPr>
          <w:p>
            <w:pPr>
              <w:spacing w:line="264" w:lineRule="auto"/>
            </w:pPr>
            <w:r>
              <w:t>Target 30-40 minutes performed. This is excellent when you want a substantial Q&amp;A, retreat discussion, or pairing with a brief opening prayer or introduction.</w:t>
            </w:r>
          </w:p>
        </w:tc>
      </w:tr>
      <w:tr>
        <w:tc>
          <w:tcPr>
            <w:tcW w:type="dxa" w:w="4896"/>
            <w:shd w:fill="F8F3EA"/>
            <w:tcMar>
              <w:top w:w="90" w:type="dxa"/>
              <w:start w:w="120" w:type="dxa"/>
              <w:bottom w:w="90" w:type="dxa"/>
              <w:end w:w="120" w:type="dxa"/>
            </w:tcMar>
            <w:vAlign w:val="center"/>
          </w:tcPr>
          <w:p>
            <w:pPr>
              <w:jc w:val="left"/>
            </w:pPr>
            <w:r>
              <w:rPr>
                <w:b/>
                <w:color w:val="7B5C33"/>
                <w:sz w:val="19"/>
              </w:rPr>
              <w:t>Why it works</w:t>
            </w:r>
          </w:p>
        </w:tc>
        <w:tc>
          <w:tcPr>
            <w:tcW w:type="dxa" w:w="4896"/>
            <w:tcMar>
              <w:top w:w="90" w:type="dxa"/>
              <w:start w:w="120" w:type="dxa"/>
              <w:bottom w:w="90" w:type="dxa"/>
              <w:end w:w="120" w:type="dxa"/>
            </w:tcMar>
            <w:vAlign w:val="center"/>
          </w:tcPr>
          <w:p>
            <w:pPr>
              <w:spacing w:line="264" w:lineRule="auto"/>
            </w:pPr>
            <w:r>
              <w:t>This is one of the great live conversion passages in Christian literature. It is introspective, but not static; the emotional movement is clear and the language carries spiritual urgency even for listeners who do not know Augustine well.</w:t>
            </w:r>
          </w:p>
        </w:tc>
      </w:tr>
    </w:tbl>
    <w:p/>
    <w:p>
      <w:pPr>
        <w:pStyle w:val="Heading2"/>
      </w:pPr>
      <w:r>
        <w:t>Source-routing note</w:t>
      </w:r>
    </w:p>
    <w:p>
      <w:pPr>
        <w:spacing w:after="160"/>
      </w:pPr>
      <w:r>
        <w:t>PDF-ANCHOR: search for Book VIII and begin at the section where Augustine intensifies his account of inner division, then continue through the take-and-read resolution. AUDIO use is more variable here because some audiobooks run long chapter bundles; if so, pull from a text/PDF and create your own audio prompts from the exact section headings.</w:t>
      </w:r>
    </w:p>
    <w:p>
      <w:pPr>
        <w:pStyle w:val="Heading2"/>
      </w:pPr>
      <w:r>
        <w:t>Recommended Q&amp;A lane</w:t>
      </w:r>
    </w:p>
    <w:p>
      <w:r>
        <w:t>Audience discussion usually centers on conversion as a process rather than a single emotional flash, and on why Augustine remains psychologically modern.</w:t>
      </w:r>
    </w:p>
    <w:p>
      <w:pPr>
        <w:pStyle w:val="Heading2"/>
      </w:pPr>
      <w:r>
        <w:t>Optional trims or alternates</w:t>
      </w:r>
    </w:p>
    <w:p>
      <w:pPr>
        <w:pStyle w:val="ListBullet"/>
      </w:pPr>
      <w:r>
        <w:t>If you want to extend the evening, add a brief prelude from Book I (restlessness) or a short closing reflection from Book X, but keep total performed text under 50 minutes.</w:t>
      </w:r>
    </w:p>
    <w:p>
      <w:pPr>
        <w:pStyle w:val="ListBullet"/>
      </w:pPr>
      <w:r>
        <w:t>For a more modern companion piece later on, Thomas Merton can be paired thematically - but only after you identify a stable edition-specific chapter map, since chapter references vary more across editions than Augustine does.</w:t>
      </w:r>
    </w:p>
    <w:p>
      <w:pPr>
        <w:pStyle w:val="Heading1"/>
      </w:pPr>
      <w:r>
        <w:t>Appendix: source-routing shortcuts by work</w:t>
      </w:r>
    </w:p>
    <w:tbl>
      <w:tblPr>
        <w:tblW w:type="auto" w:w="0"/>
        <w:jc w:val="center"/>
        <w:tblLayout w:type="fixed"/>
        <w:tblLook w:firstColumn="1" w:firstRow="1" w:lastColumn="0" w:lastRow="0" w:noHBand="0" w:noVBand="1" w:val="04A0"/>
        <w:tblBorders>
          <w:top w:val="single" w:sz="6" w:color="C9BCA4"/>
          <w:left w:val="single" w:sz="6" w:color="C9BCA4"/>
          <w:bottom w:val="single" w:sz="6" w:color="C9BCA4"/>
          <w:right w:val="single" w:sz="6" w:color="C9BCA4"/>
          <w:insideH w:val="single" w:sz="6" w:color="C9BCA4"/>
          <w:insideV w:val="single" w:sz="6" w:color="C9BCA4"/>
        </w:tblBorders>
      </w:tblPr>
      <w:tblGrid>
        <w:gridCol w:w="2376"/>
        <w:gridCol w:w="3600"/>
        <w:gridCol w:w="2232"/>
        <w:gridCol w:w="2304"/>
      </w:tblGrid>
      <w:tr>
        <w:tc>
          <w:tcPr>
            <w:tcW w:type="dxa" w:w="2448"/>
            <w:shd w:fill="EFE5D3"/>
            <w:tcMar>
              <w:top w:w="100" w:type="dxa"/>
              <w:start w:w="120" w:type="dxa"/>
              <w:bottom w:w="100" w:type="dxa"/>
              <w:end w:w="120" w:type="dxa"/>
            </w:tcMar>
          </w:tcPr>
          <w:p>
            <w:pPr>
              <w:jc w:val="center"/>
            </w:pPr>
            <w:r>
              <w:rPr>
                <w:b/>
                <w:color w:val="7B5C33"/>
                <w:sz w:val="19"/>
              </w:rPr>
              <w:t>Work</w:t>
            </w:r>
          </w:p>
        </w:tc>
        <w:tc>
          <w:tcPr>
            <w:tcW w:type="dxa" w:w="2448"/>
            <w:shd w:fill="EFE5D3"/>
            <w:tcMar>
              <w:top w:w="100" w:type="dxa"/>
              <w:start w:w="120" w:type="dxa"/>
              <w:bottom w:w="100" w:type="dxa"/>
              <w:end w:w="120" w:type="dxa"/>
            </w:tcMar>
          </w:tcPr>
          <w:p>
            <w:pPr>
              <w:jc w:val="center"/>
            </w:pPr>
            <w:r>
              <w:rPr>
                <w:b/>
                <w:color w:val="7B5C33"/>
                <w:sz w:val="19"/>
              </w:rPr>
              <w:t>Best source behavior</w:t>
            </w:r>
          </w:p>
        </w:tc>
        <w:tc>
          <w:tcPr>
            <w:tcW w:type="dxa" w:w="2448"/>
            <w:shd w:fill="EFE5D3"/>
            <w:tcMar>
              <w:top w:w="100" w:type="dxa"/>
              <w:start w:w="120" w:type="dxa"/>
              <w:bottom w:w="100" w:type="dxa"/>
              <w:end w:w="120" w:type="dxa"/>
            </w:tcMar>
          </w:tcPr>
          <w:p>
            <w:pPr>
              <w:jc w:val="center"/>
            </w:pPr>
            <w:r>
              <w:rPr>
                <w:b/>
                <w:color w:val="7B5C33"/>
                <w:sz w:val="19"/>
              </w:rPr>
              <w:t>Pull unit</w:t>
            </w:r>
          </w:p>
        </w:tc>
        <w:tc>
          <w:tcPr>
            <w:tcW w:type="dxa" w:w="2448"/>
            <w:shd w:fill="EFE5D3"/>
            <w:tcMar>
              <w:top w:w="100" w:type="dxa"/>
              <w:start w:w="120" w:type="dxa"/>
              <w:bottom w:w="100" w:type="dxa"/>
              <w:end w:w="120" w:type="dxa"/>
            </w:tcMar>
          </w:tcPr>
          <w:p>
            <w:pPr>
              <w:jc w:val="center"/>
            </w:pPr>
            <w:r>
              <w:rPr>
                <w:b/>
                <w:color w:val="7B5C33"/>
                <w:sz w:val="19"/>
              </w:rPr>
              <w:t>Most stable cue</w:t>
            </w:r>
          </w:p>
        </w:tc>
      </w:tr>
      <w:tr>
        <w:tc>
          <w:tcPr>
            <w:tcW w:type="dxa" w:w="2376"/>
            <w:tcMar>
              <w:top w:w="80" w:type="dxa"/>
              <w:start w:w="110" w:type="dxa"/>
              <w:bottom w:w="80" w:type="dxa"/>
              <w:end w:w="110" w:type="dxa"/>
            </w:tcMar>
            <w:vAlign w:val="center"/>
          </w:tcPr>
          <w:p>
            <w:r>
              <w:t>The Screwtape Letters</w:t>
            </w:r>
          </w:p>
        </w:tc>
        <w:tc>
          <w:tcPr>
            <w:tcW w:type="dxa" w:w="3600"/>
            <w:tcMar>
              <w:top w:w="80" w:type="dxa"/>
              <w:start w:w="110" w:type="dxa"/>
              <w:bottom w:w="80" w:type="dxa"/>
              <w:end w:w="110" w:type="dxa"/>
            </w:tcMar>
            <w:vAlign w:val="center"/>
          </w:tcPr>
          <w:p>
            <w:r>
              <w:t>Best from audiobook</w:t>
            </w:r>
          </w:p>
        </w:tc>
        <w:tc>
          <w:tcPr>
            <w:tcW w:type="dxa" w:w="2232"/>
            <w:tcMar>
              <w:top w:w="80" w:type="dxa"/>
              <w:start w:w="110" w:type="dxa"/>
              <w:bottom w:w="80" w:type="dxa"/>
              <w:end w:w="110" w:type="dxa"/>
            </w:tcMar>
            <w:vAlign w:val="center"/>
          </w:tcPr>
          <w:p>
            <w:pPr>
              <w:jc w:val="center"/>
            </w:pPr>
            <w:r>
              <w:t>Individual letter</w:t>
            </w:r>
          </w:p>
        </w:tc>
        <w:tc>
          <w:tcPr>
            <w:tcW w:type="dxa" w:w="2304"/>
            <w:tcMar>
              <w:top w:w="80" w:type="dxa"/>
              <w:start w:w="110" w:type="dxa"/>
              <w:bottom w:w="80" w:type="dxa"/>
              <w:end w:w="110" w:type="dxa"/>
            </w:tcMar>
            <w:vAlign w:val="center"/>
          </w:tcPr>
          <w:p>
            <w:pPr>
              <w:jc w:val="center"/>
            </w:pPr>
            <w:r>
              <w:t>Letter number</w:t>
            </w:r>
          </w:p>
        </w:tc>
      </w:tr>
      <w:tr>
        <w:tc>
          <w:tcPr>
            <w:tcW w:type="dxa" w:w="2376"/>
            <w:tcMar>
              <w:top w:w="80" w:type="dxa"/>
              <w:start w:w="110" w:type="dxa"/>
              <w:bottom w:w="80" w:type="dxa"/>
              <w:end w:w="110" w:type="dxa"/>
            </w:tcMar>
            <w:vAlign w:val="center"/>
          </w:tcPr>
          <w:p>
            <w:r>
              <w:t>The Blue Cross</w:t>
            </w:r>
          </w:p>
        </w:tc>
        <w:tc>
          <w:tcPr>
            <w:tcW w:type="dxa" w:w="3600"/>
            <w:tcMar>
              <w:top w:w="80" w:type="dxa"/>
              <w:start w:w="110" w:type="dxa"/>
              <w:bottom w:w="80" w:type="dxa"/>
              <w:end w:w="110" w:type="dxa"/>
            </w:tcMar>
            <w:vAlign w:val="center"/>
          </w:tcPr>
          <w:p>
            <w:r>
              <w:t>Best from audiobook or PDF</w:t>
            </w:r>
          </w:p>
        </w:tc>
        <w:tc>
          <w:tcPr>
            <w:tcW w:type="dxa" w:w="2232"/>
            <w:tcMar>
              <w:top w:w="80" w:type="dxa"/>
              <w:start w:w="110" w:type="dxa"/>
              <w:bottom w:w="80" w:type="dxa"/>
              <w:end w:w="110" w:type="dxa"/>
            </w:tcMar>
            <w:vAlign w:val="center"/>
          </w:tcPr>
          <w:p>
            <w:pPr>
              <w:jc w:val="center"/>
            </w:pPr>
            <w:r>
              <w:t>Full short story</w:t>
            </w:r>
          </w:p>
        </w:tc>
        <w:tc>
          <w:tcPr>
            <w:tcW w:type="dxa" w:w="2304"/>
            <w:tcMar>
              <w:top w:w="80" w:type="dxa"/>
              <w:start w:w="110" w:type="dxa"/>
              <w:bottom w:w="80" w:type="dxa"/>
              <w:end w:w="110" w:type="dxa"/>
            </w:tcMar>
            <w:vAlign w:val="center"/>
          </w:tcPr>
          <w:p>
            <w:pPr>
              <w:jc w:val="center"/>
            </w:pPr>
            <w:r>
              <w:t>Story title</w:t>
            </w:r>
          </w:p>
        </w:tc>
      </w:tr>
      <w:tr>
        <w:tc>
          <w:tcPr>
            <w:tcW w:type="dxa" w:w="2376"/>
            <w:tcMar>
              <w:top w:w="80" w:type="dxa"/>
              <w:start w:w="110" w:type="dxa"/>
              <w:bottom w:w="80" w:type="dxa"/>
              <w:end w:w="110" w:type="dxa"/>
            </w:tcMar>
            <w:vAlign w:val="center"/>
          </w:tcPr>
          <w:p>
            <w:r>
              <w:t>Seven Last Words</w:t>
            </w:r>
          </w:p>
        </w:tc>
        <w:tc>
          <w:tcPr>
            <w:tcW w:type="dxa" w:w="3600"/>
            <w:tcMar>
              <w:top w:w="80" w:type="dxa"/>
              <w:start w:w="110" w:type="dxa"/>
              <w:bottom w:w="80" w:type="dxa"/>
              <w:end w:w="110" w:type="dxa"/>
            </w:tcMar>
            <w:vAlign w:val="center"/>
          </w:tcPr>
          <w:p>
            <w:r>
              <w:t>Best from audiobook if chapterized</w:t>
            </w:r>
          </w:p>
        </w:tc>
        <w:tc>
          <w:tcPr>
            <w:tcW w:type="dxa" w:w="2232"/>
            <w:tcMar>
              <w:top w:w="80" w:type="dxa"/>
              <w:start w:w="110" w:type="dxa"/>
              <w:bottom w:w="80" w:type="dxa"/>
              <w:end w:w="110" w:type="dxa"/>
            </w:tcMar>
            <w:vAlign w:val="center"/>
          </w:tcPr>
          <w:p>
            <w:pPr>
              <w:jc w:val="center"/>
            </w:pPr>
            <w:r>
              <w:t>Individual meditation</w:t>
            </w:r>
          </w:p>
        </w:tc>
        <w:tc>
          <w:tcPr>
            <w:tcW w:type="dxa" w:w="2304"/>
            <w:tcMar>
              <w:top w:w="80" w:type="dxa"/>
              <w:start w:w="110" w:type="dxa"/>
              <w:bottom w:w="80" w:type="dxa"/>
              <w:end w:w="110" w:type="dxa"/>
            </w:tcMar>
            <w:vAlign w:val="center"/>
          </w:tcPr>
          <w:p>
            <w:pPr>
              <w:jc w:val="center"/>
            </w:pPr>
            <w:r>
              <w:t>Exact saying from the Cross</w:t>
            </w:r>
          </w:p>
        </w:tc>
      </w:tr>
      <w:tr>
        <w:tc>
          <w:tcPr>
            <w:tcW w:type="dxa" w:w="2376"/>
            <w:tcMar>
              <w:top w:w="80" w:type="dxa"/>
              <w:start w:w="110" w:type="dxa"/>
              <w:bottom w:w="80" w:type="dxa"/>
              <w:end w:w="110" w:type="dxa"/>
            </w:tcMar>
            <w:vAlign w:val="center"/>
          </w:tcPr>
          <w:p>
            <w:r>
              <w:t>Orthodoxy</w:t>
            </w:r>
          </w:p>
        </w:tc>
        <w:tc>
          <w:tcPr>
            <w:tcW w:type="dxa" w:w="3600"/>
            <w:tcMar>
              <w:top w:w="80" w:type="dxa"/>
              <w:start w:w="110" w:type="dxa"/>
              <w:bottom w:w="80" w:type="dxa"/>
              <w:end w:w="110" w:type="dxa"/>
            </w:tcMar>
            <w:vAlign w:val="center"/>
          </w:tcPr>
          <w:p>
            <w:r>
              <w:t>Best from PDF or chapterized audio</w:t>
            </w:r>
          </w:p>
        </w:tc>
        <w:tc>
          <w:tcPr>
            <w:tcW w:type="dxa" w:w="2232"/>
            <w:tcMar>
              <w:top w:w="80" w:type="dxa"/>
              <w:start w:w="110" w:type="dxa"/>
              <w:bottom w:w="80" w:type="dxa"/>
              <w:end w:w="110" w:type="dxa"/>
            </w:tcMar>
            <w:vAlign w:val="center"/>
          </w:tcPr>
          <w:p>
            <w:pPr>
              <w:jc w:val="center"/>
            </w:pPr>
            <w:r>
              <w:t>Named chapter</w:t>
            </w:r>
          </w:p>
        </w:tc>
        <w:tc>
          <w:tcPr>
            <w:tcW w:type="dxa" w:w="2304"/>
            <w:tcMar>
              <w:top w:w="80" w:type="dxa"/>
              <w:start w:w="110" w:type="dxa"/>
              <w:bottom w:w="80" w:type="dxa"/>
              <w:end w:w="110" w:type="dxa"/>
            </w:tcMar>
            <w:vAlign w:val="center"/>
          </w:tcPr>
          <w:p>
            <w:pPr>
              <w:jc w:val="center"/>
            </w:pPr>
            <w:r>
              <w:t>Chapter title</w:t>
            </w:r>
          </w:p>
        </w:tc>
      </w:tr>
      <w:tr>
        <w:tc>
          <w:tcPr>
            <w:tcW w:type="dxa" w:w="2376"/>
            <w:tcMar>
              <w:top w:w="80" w:type="dxa"/>
              <w:start w:w="110" w:type="dxa"/>
              <w:bottom w:w="80" w:type="dxa"/>
              <w:end w:w="110" w:type="dxa"/>
            </w:tcMar>
            <w:vAlign w:val="center"/>
          </w:tcPr>
          <w:p>
            <w:r>
              <w:t>Revelation</w:t>
            </w:r>
          </w:p>
        </w:tc>
        <w:tc>
          <w:tcPr>
            <w:tcW w:type="dxa" w:w="3600"/>
            <w:tcMar>
              <w:top w:w="80" w:type="dxa"/>
              <w:start w:w="110" w:type="dxa"/>
              <w:bottom w:w="80" w:type="dxa"/>
              <w:end w:w="110" w:type="dxa"/>
            </w:tcMar>
            <w:vAlign w:val="center"/>
          </w:tcPr>
          <w:p>
            <w:r>
              <w:t>Best from complete audiobook collection</w:t>
            </w:r>
          </w:p>
        </w:tc>
        <w:tc>
          <w:tcPr>
            <w:tcW w:type="dxa" w:w="2232"/>
            <w:tcMar>
              <w:top w:w="80" w:type="dxa"/>
              <w:start w:w="110" w:type="dxa"/>
              <w:bottom w:w="80" w:type="dxa"/>
              <w:end w:w="110" w:type="dxa"/>
            </w:tcMar>
            <w:vAlign w:val="center"/>
          </w:tcPr>
          <w:p>
            <w:pPr>
              <w:jc w:val="center"/>
            </w:pPr>
            <w:r>
              <w:t>Full short story</w:t>
            </w:r>
          </w:p>
        </w:tc>
        <w:tc>
          <w:tcPr>
            <w:tcW w:type="dxa" w:w="2304"/>
            <w:tcMar>
              <w:top w:w="80" w:type="dxa"/>
              <w:start w:w="110" w:type="dxa"/>
              <w:bottom w:w="80" w:type="dxa"/>
              <w:end w:w="110" w:type="dxa"/>
            </w:tcMar>
            <w:vAlign w:val="center"/>
          </w:tcPr>
          <w:p>
            <w:pPr>
              <w:jc w:val="center"/>
            </w:pPr>
            <w:r>
              <w:t>Story title</w:t>
            </w:r>
          </w:p>
        </w:tc>
      </w:tr>
      <w:tr>
        <w:tc>
          <w:tcPr>
            <w:tcW w:type="dxa" w:w="2376"/>
            <w:tcMar>
              <w:top w:w="80" w:type="dxa"/>
              <w:start w:w="110" w:type="dxa"/>
              <w:bottom w:w="80" w:type="dxa"/>
              <w:end w:w="110" w:type="dxa"/>
            </w:tcMar>
            <w:vAlign w:val="center"/>
          </w:tcPr>
          <w:p>
            <w:r>
              <w:t>Confessions Book VIII</w:t>
            </w:r>
          </w:p>
        </w:tc>
        <w:tc>
          <w:tcPr>
            <w:tcW w:type="dxa" w:w="3600"/>
            <w:tcMar>
              <w:top w:w="80" w:type="dxa"/>
              <w:start w:w="110" w:type="dxa"/>
              <w:bottom w:w="80" w:type="dxa"/>
              <w:end w:w="110" w:type="dxa"/>
            </w:tcMar>
            <w:vAlign w:val="center"/>
          </w:tcPr>
          <w:p>
            <w:r>
              <w:t>Best from PDF/text edition</w:t>
            </w:r>
          </w:p>
        </w:tc>
        <w:tc>
          <w:tcPr>
            <w:tcW w:type="dxa" w:w="2232"/>
            <w:tcMar>
              <w:top w:w="80" w:type="dxa"/>
              <w:start w:w="110" w:type="dxa"/>
              <w:bottom w:w="80" w:type="dxa"/>
              <w:end w:w="110" w:type="dxa"/>
            </w:tcMar>
            <w:vAlign w:val="center"/>
          </w:tcPr>
          <w:p>
            <w:pPr>
              <w:jc w:val="center"/>
            </w:pPr>
            <w:r>
              <w:t>Exact internal chapter run</w:t>
            </w:r>
          </w:p>
        </w:tc>
        <w:tc>
          <w:tcPr>
            <w:tcW w:type="dxa" w:w="2304"/>
            <w:tcMar>
              <w:top w:w="80" w:type="dxa"/>
              <w:start w:w="110" w:type="dxa"/>
              <w:bottom w:w="80" w:type="dxa"/>
              <w:end w:w="110" w:type="dxa"/>
            </w:tcMar>
            <w:vAlign w:val="center"/>
          </w:tcPr>
          <w:p>
            <w:pPr>
              <w:jc w:val="center"/>
            </w:pPr>
            <w:r>
              <w:t>Book number + chapter range</w:t>
            </w:r>
          </w:p>
        </w:tc>
      </w:tr>
    </w:tbl>
    <w:p/>
    <w:p>
      <w:r>
        <w:rPr>
          <w:b/>
          <w:color w:val="7B5C33"/>
        </w:rPr>
        <w:t xml:space="preserve">Recommended build order for real bookings: </w:t>
      </w:r>
      <w:r>
        <w:rPr>
          <w:color w:val="1F1D1A"/>
        </w:rPr>
        <w:t>1) Screwtape, 2) The Blue Cross, 3) Seven Last Words, 4) Chesterton essays, 5) Revelation, 6) Augustine conversion night.</w:t>
      </w:r>
    </w:p>
    <w:sectPr w:rsidR="00FC693F" w:rsidRPr="0006063C" w:rsidSect="00034616">
      <w:pgSz w:w="12240" w:h="15840"/>
      <w:pgMar w:top="1296"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1F1D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20"/>
      <w:outlineLvl w:val="0"/>
    </w:pPr>
    <w:rPr>
      <w:rFonts w:asciiTheme="majorHAnsi" w:eastAsiaTheme="majorEastAsia" w:hAnsiTheme="majorHAnsi" w:cstheme="majorBidi" w:ascii="Georgia" w:hAnsi="Georgia"/>
      <w:b/>
      <w:bCs/>
      <w:color w:val="7B5C3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Georgia" w:hAnsi="Georgia"/>
      <w:b/>
      <w:bCs/>
      <w:color w:val="7B5C3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val="0"/>
      <w:bCs/>
      <w:color w:val="1F1D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val="0"/>
      <w:color w:val="1F1D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5F584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