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4252"/>
        <w:gridCol w:w="4252"/>
      </w:tblGrid>
      <w:tr>
        <w:tc>
          <w:tcPr>
            <w:tcW w:type="dxa" w:w="4252"/>
            <w:tcBorders>
              <w:top w:val="none" w:color="FFFFFF" w:sz="0"/>
              <w:left w:val="none" w:color="FFFFFF" w:sz="0"/>
              <w:bottom w:val="none" w:color="FFFFFF" w:sz="0"/>
              <w:right w:val="none" w:color="FFFFFF" w:sz="0"/>
            </w:tcBorders>
            <w:tcMar>
              <w:top w:type="dxa" w:w="0"/>
              <w:left w:type="dxa" w:w="0"/>
              <w:bottom w:type="dxa" w:w="0"/>
              <w:right w:type="dxa" w:w="200"/>
            </w:tcMar>
            <w:vAlign w:val="top"/>
          </w:tcPr>
          <w:p>
            <w:pPr>
              <w:spacing w:after="60" w:before="0"/>
            </w:pPr>
            <w:r>
              <w:drawing>
                <wp:inline distT="0" distB="0" distL="0" distR="0">
                  <wp:extent cx="971550" cy="56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71550" cy="561975"/>
                          </a:xfrm>
                          <a:prstGeom prst="rect">
                            <a:avLst/>
                          </a:prstGeom>
                        </pic:spPr>
                      </pic:pic>
                    </a:graphicData>
                  </a:graphic>
                </wp:inline>
              </w:drawing>
            </w:r>
          </w:p>
          <w:p>
            <w:pPr>
              <w:spacing w:after="0" w:before="0"/>
            </w:pPr>
            <w:r>
              <w:rPr>
                <w:rFonts w:ascii="Source Sans Pro" w:cs="Source Sans Pro" w:eastAsia="Source Sans Pro" w:hAnsi="Source Sans Pro"/>
                <w:b/>
                <w:bCs/>
                <w:color w:val="007A3D"/>
                <w:sz w:val="18"/>
                <w:szCs w:val="18"/>
              </w:rPr>
              <w:t xml:space="preserve">Consejería de Sanidad, Presidencia y Emergencias</w:t>
            </w:r>
          </w:p>
          <w:p>
            <w:pPr>
              <w:spacing w:after="0" w:before="0"/>
            </w:pPr>
            <w:r>
              <w:rPr>
                <w:rFonts w:ascii="Source Sans Pro" w:cs="Source Sans Pro" w:eastAsia="Source Sans Pro" w:hAnsi="Source Sans Pro"/>
                <w:sz w:val="18"/>
                <w:szCs w:val="18"/>
              </w:rPr>
              <w:t xml:space="preserve">Servicio Andaluz de Salud</w:t>
            </w:r>
          </w:p>
        </w:tc>
        <w:tc>
          <w:tcPr>
            <w:tcW w:type="dxa" w:w="4252"/>
            <w:tcBorders>
              <w:top w:val="none" w:color="FFFFFF" w:sz="0"/>
              <w:left w:val="none" w:color="FFFFFF" w:sz="0"/>
              <w:bottom w:val="none" w:color="FFFFFF" w:sz="0"/>
              <w:right w:val="none" w:color="FFFFFF" w:sz="0"/>
            </w:tcBorders>
            <w:tcMar>
              <w:top w:type="dxa" w:w="0"/>
              <w:left w:type="dxa" w:w="200"/>
              <w:bottom w:type="dxa" w:w="0"/>
              <w:right w:type="dxa" w:w="0"/>
            </w:tcMar>
            <w:vAlign w:val="top"/>
          </w:tcPr>
          <w:p>
            <w:pPr>
              <w:spacing w:after="0" w:before="0"/>
              <w:jc w:val="right"/>
            </w:pPr>
            <w:r>
              <w:drawing>
                <wp:inline distT="0" distB="0" distL="0" distR="0">
                  <wp:extent cx="1704975" cy="84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04975" cy="847725"/>
                          </a:xfrm>
                          <a:prstGeom prst="rect">
                            <a:avLst/>
                          </a:prstGeom>
                        </pic:spPr>
                      </pic:pic>
                    </a:graphicData>
                  </a:graphic>
                </wp:inline>
              </w:drawing>
            </w:r>
          </w:p>
        </w:tc>
      </w:tr>
    </w:tbl>
    <w:p>
      <w:pPr>
        <w:spacing w:after="0" w:before="80"/>
        <w:jc w:val="center"/>
      </w:pPr>
      <w:r>
        <w:rPr>
          <w:rFonts w:ascii="Source Sans Pro" w:cs="Source Sans Pro" w:eastAsia="Source Sans Pro" w:hAnsi="Source Sans Pro"/>
          <w:b/>
          <w:bCs/>
          <w:color w:val="007A3D"/>
          <w:sz w:val="18"/>
          <w:szCs w:val="18"/>
        </w:rPr>
        <w:t xml:space="preserve">Subdirección de Innovación Tecnológica</w:t>
      </w:r>
    </w:p>
    <w:p>
      <w:pPr>
        <w:pBdr>
          <w:bottom w:val="single" w:color="007A3D" w:sz="6" w:space="1"/>
        </w:pBdr>
        <w:spacing w:after="100" w:before="0"/>
        <w:jc w:val="center"/>
      </w:pPr>
      <w:r>
        <w:rPr>
          <w:rFonts w:ascii="Source Sans Pro" w:cs="Source Sans Pro" w:eastAsia="Source Sans Pro" w:hAnsi="Source Sans Pro"/>
          <w:sz w:val="18"/>
          <w:szCs w:val="18"/>
        </w:rPr>
        <w:t xml:space="preserve">Servicio de Electromedicina</w:t>
      </w:r>
    </w:p>
    <w:p>
      <w:pPr>
        <w:spacing w:after="0" w:before="0"/>
        <w:jc w:val="center"/>
      </w:pPr>
      <w:r>
        <w:rPr>
          <w:rFonts w:ascii="Source Sans Pro" w:cs="Source Sans Pro" w:eastAsia="Source Sans Pro" w:hAnsi="Source Sans Pro"/>
          <w:b/>
          <w:bCs/>
          <w:color w:val="007A3D"/>
          <w:sz w:val="24"/>
          <w:szCs w:val="24"/>
        </w:rPr>
        <w:t xml:space="preserve">MEMORIA JUSTIFICATIVA DE LA NECESIDAD</w:t>
      </w:r>
    </w:p>
    <w:p>
      <w:pPr>
        <w:spacing w:after="0" w:before="0"/>
        <w:jc w:val="center"/>
      </w:pPr>
      <w:r>
        <w:rPr>
          <w:rFonts w:ascii="Source Sans Pro" w:cs="Source Sans Pro" w:eastAsia="Source Sans Pro" w:hAnsi="Source Sans Pro"/>
          <w:b/>
          <w:bCs/>
          <w:color w:val="007A3D"/>
          <w:sz w:val="24"/>
          <w:szCs w:val="24"/>
        </w:rPr>
        <w:t xml:space="preserve">DE MONITORIZACIÓN DE CIBERSEGURIDAD</w:t>
      </w:r>
    </w:p>
    <w:p>
      <w:pPr>
        <w:spacing w:after="0" w:before="0"/>
        <w:jc w:val="center"/>
      </w:pPr>
      <w:r>
        <w:rPr>
          <w:rFonts w:ascii="Source Sans Pro" w:cs="Source Sans Pro" w:eastAsia="Source Sans Pro" w:hAnsi="Source Sans Pro"/>
          <w:b/>
          <w:bCs/>
          <w:color w:val="007A3D"/>
          <w:sz w:val="24"/>
          <w:szCs w:val="24"/>
        </w:rPr>
        <w:t xml:space="preserve">DEL EQUIPAMIENTO ELECTROMÉDICO</w:t>
      </w:r>
    </w:p>
    <w:p>
      <w:pPr>
        <w:spacing w:after="120"/>
      </w:pPr>
    </w:p>
    <w:tbl>
      <w:tblPr>
        <w:tblW w:type="dxa" w:w="8720"/>
        <w:jc w:val="center"/>
        <w:tblBorders>
          <w:top w:val="single" w:color="auto" w:sz="4"/>
          <w:left w:val="single" w:color="auto" w:sz="4"/>
          <w:bottom w:val="single" w:color="auto" w:sz="4"/>
          <w:right w:val="single" w:color="auto" w:sz="4"/>
          <w:insideH w:val="single" w:color="auto" w:sz="4"/>
          <w:insideV w:val="single" w:color="auto" w:sz="4"/>
        </w:tblBorders>
      </w:tblPr>
      <w:tblGrid>
        <w:gridCol w:w="3104"/>
        <w:gridCol w:w="5616"/>
      </w:tblGrid>
      <w:tr>
        <w:tc>
          <w:tcPr>
            <w:tcW w:type="dxa" w:w="3104"/>
            <w:tcBorders>
              <w:top w:val="single" w:color="000000" w:sz="4"/>
              <w:left w:val="single" w:color="000000" w:sz="4"/>
              <w:bottom w:val="single" w:color="000000" w:sz="4"/>
              <w:right w:val="single" w:color="000000" w:sz="4"/>
            </w:tcBorders>
            <w:shd w:fill="007A3D" w:color="auto" w:val="clear"/>
          </w:tcPr>
          <w:p>
            <w:pPr>
              <w:spacing w:after="0" w:before="0"/>
            </w:pPr>
          </w:p>
        </w:tc>
        <w:tc>
          <w:tcPr>
            <w:tcW w:type="dxa" w:w="5616"/>
            <w:tcBorders>
              <w:top w:val="single" w:color="000000" w:sz="4"/>
              <w:left w:val="single" w:color="000000" w:sz="4"/>
              <w:bottom w:val="single" w:color="000000" w:sz="4"/>
              <w:right w:val="single" w:color="000000" w:sz="4"/>
            </w:tcBorders>
            <w:shd w:fill="007A3D" w:color="auto" w:val="clear"/>
          </w:tcPr>
          <w:p>
            <w:pPr>
              <w:spacing w:after="0" w:before="0"/>
            </w:pPr>
          </w:p>
        </w:tc>
      </w:tr>
      <w:tr>
        <w:tc>
          <w:tcPr>
            <w:tcW w:type="dxa" w:w="3104"/>
            <w:tcBorders>
              <w:top w:val="single" w:color="000000" w:sz="4"/>
              <w:left w:val="single" w:color="000000" w:sz="4"/>
              <w:bottom w:val="single" w:color="000000" w:sz="4"/>
              <w:right w:val="single" w:color="000000" w:sz="4"/>
            </w:tcBorders>
            <w:shd w:fill="F5F5F5" w:color="auto" w:val="clear"/>
          </w:tcPr>
          <w:p>
            <w:pPr>
              <w:spacing w:after="0" w:before="0"/>
            </w:pPr>
            <w:r>
              <w:rPr>
                <w:rFonts w:ascii="Source Sans Pro" w:cs="Source Sans Pro" w:eastAsia="Source Sans Pro" w:hAnsi="Source Sans Pro"/>
                <w:b w:val="false"/>
                <w:bCs w:val="false"/>
                <w:sz w:val="18"/>
                <w:szCs w:val="18"/>
              </w:rPr>
              <w:t xml:space="preserve">NOMBRE DEL CENTRO</w:t>
            </w:r>
          </w:p>
        </w:tc>
        <w:tc>
          <w:tcPr>
            <w:tcW w:type="dxa" w:w="5616"/>
            <w:tcBorders>
              <w:top w:val="single" w:color="000000" w:sz="4"/>
              <w:left w:val="single" w:color="000000" w:sz="4"/>
              <w:bottom w:val="single" w:color="000000" w:sz="4"/>
              <w:right w:val="single" w:color="000000" w:sz="4"/>
            </w:tcBorders>
            <w:shd w:fill="F5F5F5" w:color="auto" w:val="clear"/>
          </w:tcPr>
          <w:p>
            <w:pPr>
              <w:spacing w:after="0" w:before="0"/>
            </w:pPr>
            <w:r>
              <w:rPr>
                <w:rFonts w:ascii="Source Sans Pro" w:cs="Source Sans Pro" w:eastAsia="Source Sans Pro" w:hAnsi="Source Sans Pro"/>
                <w:b w:val="false"/>
                <w:bCs w:val="false"/>
                <w:sz w:val="18"/>
                <w:szCs w:val="18"/>
              </w:rPr>
              <w:t xml:space="preserve">HOSPITAL UNIVERSITARIO REGIONAL DE MÁLAGA</w:t>
            </w:r>
          </w:p>
        </w:tc>
      </w:tr>
      <w:tr>
        <w:tc>
          <w:tcPr>
            <w:tcW w:type="dxa" w:w="3104"/>
            <w:tcBorders>
              <w:top w:val="single" w:color="000000" w:sz="4"/>
              <w:left w:val="single" w:color="000000" w:sz="4"/>
              <w:bottom w:val="single" w:color="000000" w:sz="4"/>
              <w:right w:val="single" w:color="000000" w:sz="4"/>
            </w:tcBorders>
          </w:tcPr>
          <w:p>
            <w:pPr>
              <w:spacing w:after="0" w:before="0"/>
            </w:pPr>
            <w:r>
              <w:rPr>
                <w:rFonts w:ascii="Source Sans Pro" w:cs="Source Sans Pro" w:eastAsia="Source Sans Pro" w:hAnsi="Source Sans Pro"/>
                <w:b w:val="false"/>
                <w:bCs w:val="false"/>
                <w:sz w:val="18"/>
                <w:szCs w:val="18"/>
              </w:rPr>
              <w:t xml:space="preserve">NOMBRE DEL SERVICIO/UNIDAD/UGC SOLICITANTE</w:t>
            </w:r>
          </w:p>
        </w:tc>
        <w:tc>
          <w:tcPr>
            <w:tcW w:type="dxa" w:w="5616"/>
            <w:tcBorders>
              <w:top w:val="single" w:color="000000" w:sz="4"/>
              <w:left w:val="single" w:color="000000" w:sz="4"/>
              <w:bottom w:val="single" w:color="000000" w:sz="4"/>
              <w:right w:val="single" w:color="000000" w:sz="4"/>
            </w:tcBorders>
          </w:tcPr>
          <w:p>
            <w:pPr>
              <w:spacing w:after="0" w:before="0"/>
            </w:pPr>
            <w:r>
              <w:rPr>
                <w:rFonts w:ascii="Source Sans Pro" w:cs="Source Sans Pro" w:eastAsia="Source Sans Pro" w:hAnsi="Source Sans Pro"/>
                <w:b w:val="false"/>
                <w:bCs w:val="false"/>
                <w:sz w:val="18"/>
                <w:szCs w:val="18"/>
              </w:rPr>
              <w:t xml:space="preserve">Servicio de Electromedicina en coordinación con TIC.</w:t>
            </w:r>
          </w:p>
        </w:tc>
      </w:tr>
      <w:tr>
        <w:tc>
          <w:tcPr>
            <w:tcW w:type="dxa" w:w="3104"/>
            <w:tcBorders>
              <w:top w:val="single" w:color="000000" w:sz="4"/>
              <w:left w:val="single" w:color="000000" w:sz="4"/>
              <w:bottom w:val="single" w:color="000000" w:sz="4"/>
              <w:right w:val="single" w:color="000000" w:sz="4"/>
            </w:tcBorders>
            <w:shd w:fill="F5F5F5" w:color="auto" w:val="clear"/>
          </w:tcPr>
          <w:p>
            <w:pPr>
              <w:spacing w:after="0" w:before="0"/>
            </w:pPr>
            <w:r>
              <w:rPr>
                <w:rFonts w:ascii="Source Sans Pro" w:cs="Source Sans Pro" w:eastAsia="Source Sans Pro" w:hAnsi="Source Sans Pro"/>
                <w:b w:val="false"/>
                <w:bCs w:val="false"/>
                <w:sz w:val="18"/>
                <w:szCs w:val="18"/>
              </w:rPr>
              <w:t xml:space="preserve">NOMBRE DE LA NECESIDAD</w:t>
            </w:r>
          </w:p>
        </w:tc>
        <w:tc>
          <w:tcPr>
            <w:tcW w:type="dxa" w:w="5616"/>
            <w:tcBorders>
              <w:top w:val="single" w:color="000000" w:sz="4"/>
              <w:left w:val="single" w:color="000000" w:sz="4"/>
              <w:bottom w:val="single" w:color="000000" w:sz="4"/>
              <w:right w:val="single" w:color="000000" w:sz="4"/>
            </w:tcBorders>
            <w:shd w:fill="F5F5F5" w:color="auto" w:val="clear"/>
          </w:tcPr>
          <w:p>
            <w:pPr>
              <w:spacing w:after="0" w:before="0"/>
            </w:pPr>
            <w:r>
              <w:rPr>
                <w:rFonts w:ascii="Source Sans Pro" w:cs="Source Sans Pro" w:eastAsia="Source Sans Pro" w:hAnsi="Source Sans Pro"/>
                <w:b w:val="false"/>
                <w:bCs w:val="false"/>
                <w:sz w:val="18"/>
                <w:szCs w:val="18"/>
              </w:rPr>
              <w:t xml:space="preserve">Monitorización proactiva de ciberseguridad del equipamiento electromédico conectado y dotación técnica conjunta de Electromedicina y TIC</w:t>
            </w:r>
          </w:p>
        </w:tc>
      </w:tr>
      <w:tr>
        <w:tc>
          <w:tcPr>
            <w:tcW w:type="dxa" w:w="3104"/>
            <w:tcBorders>
              <w:top w:val="single" w:color="000000" w:sz="4"/>
              <w:left w:val="single" w:color="000000" w:sz="4"/>
              <w:bottom w:val="single" w:color="000000" w:sz="4"/>
              <w:right w:val="single" w:color="000000" w:sz="4"/>
            </w:tcBorders>
          </w:tcPr>
          <w:p>
            <w:pPr>
              <w:spacing w:after="0" w:before="0"/>
            </w:pPr>
            <w:r>
              <w:rPr>
                <w:rFonts w:ascii="Source Sans Pro" w:cs="Source Sans Pro" w:eastAsia="Source Sans Pro" w:hAnsi="Source Sans Pro"/>
                <w:b w:val="false"/>
                <w:bCs w:val="false"/>
                <w:sz w:val="18"/>
                <w:szCs w:val="18"/>
              </w:rPr>
              <w:t xml:space="preserve">DESTINO</w:t>
            </w:r>
          </w:p>
        </w:tc>
        <w:tc>
          <w:tcPr>
            <w:tcW w:type="dxa" w:w="5616"/>
            <w:tcBorders>
              <w:top w:val="single" w:color="000000" w:sz="4"/>
              <w:left w:val="single" w:color="000000" w:sz="4"/>
              <w:bottom w:val="single" w:color="000000" w:sz="4"/>
              <w:right w:val="single" w:color="000000" w:sz="4"/>
            </w:tcBorders>
          </w:tcPr>
          <w:p>
            <w:pPr>
              <w:spacing w:after="0" w:before="0"/>
            </w:pPr>
            <w:r>
              <w:rPr>
                <w:rFonts w:ascii="Source Sans Pro" w:cs="Source Sans Pro" w:eastAsia="Source Sans Pro" w:hAnsi="Source Sans Pro"/>
                <w:b w:val="false"/>
                <w:bCs w:val="false"/>
                <w:sz w:val="18"/>
                <w:szCs w:val="18"/>
              </w:rPr>
              <w:t xml:space="preserve">Hospital General, Materno Infantil, Hospital Civil y CARE José Estrada</w:t>
            </w:r>
          </w:p>
        </w:tc>
      </w:tr>
      <w:tr>
        <w:tc>
          <w:tcPr>
            <w:tcW w:type="dxa" w:w="3104"/>
            <w:tcBorders>
              <w:top w:val="single" w:color="000000" w:sz="4"/>
              <w:left w:val="single" w:color="000000" w:sz="4"/>
              <w:bottom w:val="single" w:color="000000" w:sz="4"/>
              <w:right w:val="single" w:color="000000" w:sz="4"/>
            </w:tcBorders>
            <w:shd w:fill="F5F5F5" w:color="auto" w:val="clear"/>
          </w:tcPr>
          <w:p>
            <w:pPr>
              <w:spacing w:after="0" w:before="0"/>
            </w:pPr>
            <w:r>
              <w:rPr>
                <w:rFonts w:ascii="Source Sans Pro" w:cs="Source Sans Pro" w:eastAsia="Source Sans Pro" w:hAnsi="Source Sans Pro"/>
                <w:b w:val="false"/>
                <w:bCs w:val="false"/>
                <w:sz w:val="18"/>
                <w:szCs w:val="18"/>
              </w:rPr>
              <w:t xml:space="preserve">FECHA</w:t>
            </w:r>
          </w:p>
        </w:tc>
        <w:tc>
          <w:tcPr>
            <w:tcW w:type="dxa" w:w="5616"/>
            <w:tcBorders>
              <w:top w:val="single" w:color="000000" w:sz="4"/>
              <w:left w:val="single" w:color="000000" w:sz="4"/>
              <w:bottom w:val="single" w:color="000000" w:sz="4"/>
              <w:right w:val="single" w:color="000000" w:sz="4"/>
            </w:tcBorders>
            <w:shd w:fill="F5F5F5" w:color="auto" w:val="clear"/>
          </w:tcPr>
          <w:p>
            <w:pPr>
              <w:spacing w:after="0" w:before="0"/>
            </w:pPr>
            <w:r>
              <w:rPr>
                <w:rFonts w:ascii="Source Sans Pro" w:cs="Source Sans Pro" w:eastAsia="Source Sans Pro" w:hAnsi="Source Sans Pro"/>
                <w:b w:val="false"/>
                <w:bCs w:val="false"/>
                <w:sz w:val="18"/>
                <w:szCs w:val="18"/>
              </w:rPr>
              <w:t xml:space="preserve">22 de octubre de 2026.</w:t>
            </w:r>
          </w:p>
        </w:tc>
      </w:tr>
    </w:tbl>
    <w:p>
      <w:pPr>
        <w:keepNext/>
        <w:spacing w:after="80" w:before="240"/>
      </w:pPr>
      <w:r>
        <w:rPr>
          <w:rFonts w:ascii="Source Sans Pro" w:cs="Source Sans Pro" w:eastAsia="Source Sans Pro" w:hAnsi="Source Sans Pro"/>
          <w:b/>
          <w:bCs/>
          <w:color w:val="007A3D"/>
          <w:sz w:val="22"/>
          <w:szCs w:val="22"/>
        </w:rPr>
        <w:t xml:space="preserve">NECESIDAD DEL CENTRO SANITARIO.</w:t>
      </w:r>
    </w:p>
    <w:p>
      <w:pPr>
        <w:keepNext/>
        <w:spacing w:after="80" w:before="240"/>
      </w:pPr>
      <w:r>
        <w:rPr>
          <w:rFonts w:ascii="Source Sans Pro" w:cs="Source Sans Pro" w:eastAsia="Source Sans Pro" w:hAnsi="Source Sans Pro"/>
          <w:b/>
          <w:bCs/>
          <w:color w:val="007A3D"/>
          <w:sz w:val="22"/>
          <w:szCs w:val="22"/>
        </w:rPr>
        <w:t xml:space="preserve">1. Introducción</w:t>
      </w:r>
    </w:p>
    <w:p>
      <w:pPr>
        <w:spacing w:after="120"/>
        <w:jc w:val="both"/>
      </w:pPr>
      <w:r>
        <w:rPr>
          <w:rFonts w:ascii="Source Sans Pro" w:cs="Source Sans Pro" w:eastAsia="Source Sans Pro" w:hAnsi="Source Sans Pro"/>
          <w:sz w:val="20"/>
          <w:szCs w:val="20"/>
        </w:rPr>
        <w:t xml:space="preserve">La presente memoria justificativa tiene como objetivo solicitar la consolidación de un programa permanente de monitorización de ciberseguridad del equipamiento electromédico conectado del HOSPITAL UNIVERSITARIO REGIONAL DE MÁLAGA, integrado con los servicios TIC corporativos, y dotarlo de un técnico especialista de Electromedicina y un técnico informático con dedicación específica conjunta.</w:t>
      </w:r>
    </w:p>
    <w:p>
      <w:pPr>
        <w:spacing w:after="120"/>
        <w:jc w:val="both"/>
      </w:pPr>
      <w:r>
        <w:rPr>
          <w:rFonts w:ascii="Source Sans Pro" w:cs="Source Sans Pro" w:eastAsia="Source Sans Pro" w:hAnsi="Source Sans Pro"/>
          <w:sz w:val="20"/>
          <w:szCs w:val="20"/>
        </w:rPr>
        <w:t xml:space="preserve">El parque gestionado comprende aproximadamente 11.000 equipos, de los cuales más de 1.000 están conectados. Su protección requiere conocer qué dispositivos, servidores y aplicaciones están en uso, evaluar las alertas que les afectan y ejecutar medidas compatibles con la continuidad asistencial. La revisión realizada el 22 de octubre de 2026 con Claroty xDome ante la alerta PHP2Shell acredita la utilidad de disponer de información técnica centralizada y de una organización capaz de interpretarla y coordinar la respuesta. La necesidad abarca plataforma, cobertura de red, procedimientos y personal; no se limita a la alerta actual.</w:t>
      </w:r>
    </w:p>
    <w:p>
      <w:pPr>
        <w:spacing w:after="120"/>
        <w:jc w:val="both"/>
      </w:pPr>
      <w:r>
        <w:rPr>
          <w:rFonts w:ascii="Source Sans Pro" w:cs="Source Sans Pro" w:eastAsia="Source Sans Pro" w:hAnsi="Source Sans Pro"/>
          <w:sz w:val="20"/>
          <w:szCs w:val="20"/>
        </w:rPr>
        <w:t xml:space="preserve">La solicitud se fundamenta en datos objetivos procedentes de:</w:t>
      </w:r>
    </w:p>
    <w:p>
      <w:pPr>
        <w:spacing w:after="80"/>
        <w:ind w:left="280"/>
        <w:jc w:val="both"/>
      </w:pPr>
      <w:r>
        <w:rPr>
          <w:rFonts w:ascii="Source Sans Pro" w:cs="Source Sans Pro" w:eastAsia="Source Sans Pro" w:hAnsi="Source Sans Pro"/>
          <w:sz w:val="20"/>
          <w:szCs w:val="20"/>
        </w:rPr>
        <w:t xml:space="preserve">• Inventario corporativo de equipamiento electromédico (MANSIS) e información operativa del parque conectado.</w:t>
      </w:r>
    </w:p>
    <w:p>
      <w:pPr>
        <w:spacing w:after="80"/>
        <w:ind w:left="280"/>
        <w:jc w:val="both"/>
      </w:pPr>
      <w:r>
        <w:rPr>
          <w:rFonts w:ascii="Source Sans Pro" w:cs="Source Sans Pro" w:eastAsia="Source Sans Pro" w:hAnsi="Source Sans Pro"/>
          <w:sz w:val="20"/>
          <w:szCs w:val="20"/>
        </w:rPr>
        <w:t xml:space="preserve">• Consulta de la plataforma Claroty xDome y avisos de seguridad de organismos oficiales y fabricantes.</w:t>
      </w:r>
    </w:p>
    <w:p>
      <w:pPr>
        <w:keepNext/>
        <w:spacing w:after="80" w:before="240"/>
      </w:pPr>
      <w:r>
        <w:rPr>
          <w:rFonts w:ascii="Source Sans Pro" w:cs="Source Sans Pro" w:eastAsia="Source Sans Pro" w:hAnsi="Source Sans Pro"/>
          <w:b/>
          <w:bCs/>
          <w:color w:val="007A3D"/>
          <w:sz w:val="22"/>
          <w:szCs w:val="22"/>
        </w:rPr>
        <w:t xml:space="preserve">1.1. Cartera de Servicios a la que responde</w:t>
      </w:r>
    </w:p>
    <w:p>
      <w:pPr>
        <w:spacing w:after="120"/>
        <w:jc w:val="both"/>
      </w:pPr>
      <w:r>
        <w:rPr>
          <w:rFonts w:ascii="Source Sans Pro" w:cs="Source Sans Pro" w:eastAsia="Source Sans Pro" w:hAnsi="Source Sans Pro"/>
          <w:sz w:val="20"/>
          <w:szCs w:val="20"/>
        </w:rPr>
        <w:t xml:space="preserve">El programa dará soporte a las áreas asistenciales que dependen de equipamiento conectado en el Hospital General, Materno Infantil, Hospital Civil y CARE José Estrada, incluyendo los equipos propios y los cedidos, arrendados o aportados por proveedores cuando se conecten a las redes o participen en los procesos asistenciales.</w:t>
      </w:r>
    </w:p>
    <w:tbl>
      <w:tblPr>
        <w:tblW w:type="dxa" w:w="85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6100"/>
      </w:tblGrid>
      <w:tr>
        <w:trPr>
          <w:tblHeader/>
        </w:trPr>
        <w:tc>
          <w:tcPr>
            <w:tcW w:type="dxa" w:w="2400"/>
            <w:tcBorders>
              <w:top w:val="single" w:color="000000" w:sz="4"/>
              <w:left w:val="single" w:color="000000" w:sz="4"/>
              <w:bottom w:val="single" w:color="000000" w:sz="4"/>
              <w:right w:val="single" w:color="000000" w:sz="4"/>
            </w:tcBorders>
            <w:shd w:fill="007A3D" w:color="auto" w:val="clear"/>
          </w:tcPr>
          <w:p>
            <w:pPr>
              <w:spacing w:after="0" w:before="0"/>
            </w:pPr>
            <w:r>
              <w:rPr>
                <w:rFonts w:ascii="Source Sans Pro" w:cs="Source Sans Pro" w:eastAsia="Source Sans Pro" w:hAnsi="Source Sans Pro"/>
                <w:b/>
                <w:bCs/>
                <w:color w:val="FFFFFF"/>
                <w:sz w:val="18"/>
                <w:szCs w:val="18"/>
              </w:rPr>
              <w:t xml:space="preserve">Ámbito</w:t>
            </w:r>
          </w:p>
        </w:tc>
        <w:tc>
          <w:tcPr>
            <w:tcW w:type="dxa" w:w="6100"/>
            <w:tcBorders>
              <w:top w:val="single" w:color="000000" w:sz="4"/>
              <w:left w:val="single" w:color="000000" w:sz="4"/>
              <w:bottom w:val="single" w:color="000000" w:sz="4"/>
              <w:right w:val="single" w:color="000000" w:sz="4"/>
            </w:tcBorders>
            <w:shd w:fill="007A3D" w:color="auto" w:val="clear"/>
          </w:tcPr>
          <w:p>
            <w:pPr>
              <w:spacing w:after="0" w:before="0"/>
            </w:pPr>
            <w:r>
              <w:rPr>
                <w:rFonts w:ascii="Source Sans Pro" w:cs="Source Sans Pro" w:eastAsia="Source Sans Pro" w:hAnsi="Source Sans Pro"/>
                <w:b/>
                <w:bCs/>
                <w:color w:val="FFFFFF"/>
                <w:sz w:val="18"/>
                <w:szCs w:val="18"/>
              </w:rPr>
              <w:t xml:space="preserve">Sistemas incluidos en el alcance</w:t>
            </w:r>
          </w:p>
        </w:tc>
      </w:tr>
      <w:tr>
        <w:tc>
          <w:tcPr>
            <w:tcW w:type="dxa" w:w="2400"/>
            <w:tcBorders>
              <w:top w:val="single" w:color="000000" w:sz="4"/>
              <w:left w:val="single" w:color="000000" w:sz="4"/>
              <w:bottom w:val="single" w:color="000000" w:sz="4"/>
              <w:right w:val="single" w:color="000000" w:sz="4"/>
            </w:tcBorders>
            <w:shd w:fill="F5F5F5" w:color="auto" w:val="clear"/>
          </w:tcPr>
          <w:p>
            <w:pPr>
              <w:spacing w:after="0" w:before="0"/>
            </w:pPr>
            <w:r>
              <w:rPr>
                <w:rFonts w:ascii="Source Sans Pro" w:cs="Source Sans Pro" w:eastAsia="Source Sans Pro" w:hAnsi="Source Sans Pro"/>
                <w:b w:val="false"/>
                <w:bCs w:val="false"/>
                <w:sz w:val="18"/>
                <w:szCs w:val="18"/>
              </w:rPr>
              <w:t xml:space="preserve">Cuidados críticos y hospitalización</w:t>
            </w:r>
          </w:p>
        </w:tc>
        <w:tc>
          <w:tcPr>
            <w:tcW w:type="dxa" w:w="6100"/>
            <w:tcBorders>
              <w:top w:val="single" w:color="000000" w:sz="4"/>
              <w:left w:val="single" w:color="000000" w:sz="4"/>
              <w:bottom w:val="single" w:color="000000" w:sz="4"/>
              <w:right w:val="single" w:color="000000" w:sz="4"/>
            </w:tcBorders>
            <w:shd w:fill="F5F5F5" w:color="auto" w:val="clear"/>
          </w:tcPr>
          <w:p>
            <w:pPr>
              <w:spacing w:after="0" w:before="0"/>
            </w:pPr>
            <w:r>
              <w:rPr>
                <w:rFonts w:ascii="Source Sans Pro" w:cs="Source Sans Pro" w:eastAsia="Source Sans Pro" w:hAnsi="Source Sans Pro"/>
                <w:b w:val="false"/>
                <w:bCs w:val="false"/>
                <w:sz w:val="18"/>
                <w:szCs w:val="18"/>
              </w:rPr>
              <w:t xml:space="preserve">Centrales de monitorización, telemetría, monitores y pasarelas de integración.</w:t>
            </w:r>
          </w:p>
        </w:tc>
      </w:tr>
      <w:tr>
        <w:tc>
          <w:tcPr>
            <w:tcW w:type="dxa" w:w="2400"/>
            <w:tcBorders>
              <w:top w:val="single" w:color="000000" w:sz="4"/>
              <w:left w:val="single" w:color="000000" w:sz="4"/>
              <w:bottom w:val="single" w:color="000000" w:sz="4"/>
              <w:right w:val="single" w:color="000000" w:sz="4"/>
            </w:tcBorders>
          </w:tcPr>
          <w:p>
            <w:pPr>
              <w:spacing w:after="0" w:before="0"/>
            </w:pPr>
            <w:r>
              <w:rPr>
                <w:rFonts w:ascii="Source Sans Pro" w:cs="Source Sans Pro" w:eastAsia="Source Sans Pro" w:hAnsi="Source Sans Pro"/>
                <w:b w:val="false"/>
                <w:bCs w:val="false"/>
                <w:sz w:val="18"/>
                <w:szCs w:val="18"/>
              </w:rPr>
              <w:t xml:space="preserve">Quirófanos y procedimientos</w:t>
            </w:r>
          </w:p>
        </w:tc>
        <w:tc>
          <w:tcPr>
            <w:tcW w:type="dxa" w:w="6100"/>
            <w:tcBorders>
              <w:top w:val="single" w:color="000000" w:sz="4"/>
              <w:left w:val="single" w:color="000000" w:sz="4"/>
              <w:bottom w:val="single" w:color="000000" w:sz="4"/>
              <w:right w:val="single" w:color="000000" w:sz="4"/>
            </w:tcBorders>
          </w:tcPr>
          <w:p>
            <w:pPr>
              <w:spacing w:after="0" w:before="0"/>
            </w:pPr>
            <w:r>
              <w:rPr>
                <w:rFonts w:ascii="Source Sans Pro" w:cs="Source Sans Pro" w:eastAsia="Source Sans Pro" w:hAnsi="Source Sans Pro"/>
                <w:b w:val="false"/>
                <w:bCs w:val="false"/>
                <w:sz w:val="18"/>
                <w:szCs w:val="18"/>
              </w:rPr>
              <w:t xml:space="preserve">Integración quirúrgica, archivo de imágenes, anestesia y servidores asociados.</w:t>
            </w:r>
          </w:p>
        </w:tc>
      </w:tr>
      <w:tr>
        <w:tc>
          <w:tcPr>
            <w:tcW w:type="dxa" w:w="2400"/>
            <w:tcBorders>
              <w:top w:val="single" w:color="000000" w:sz="4"/>
              <w:left w:val="single" w:color="000000" w:sz="4"/>
              <w:bottom w:val="single" w:color="000000" w:sz="4"/>
              <w:right w:val="single" w:color="000000" w:sz="4"/>
            </w:tcBorders>
            <w:shd w:fill="F5F5F5" w:color="auto" w:val="clear"/>
          </w:tcPr>
          <w:p>
            <w:pPr>
              <w:spacing w:after="0" w:before="0"/>
            </w:pPr>
            <w:r>
              <w:rPr>
                <w:rFonts w:ascii="Source Sans Pro" w:cs="Source Sans Pro" w:eastAsia="Source Sans Pro" w:hAnsi="Source Sans Pro"/>
                <w:b w:val="false"/>
                <w:bCs w:val="false"/>
                <w:sz w:val="18"/>
                <w:szCs w:val="18"/>
              </w:rPr>
              <w:t xml:space="preserve">Diagnóstico y tratamiento</w:t>
            </w:r>
          </w:p>
        </w:tc>
        <w:tc>
          <w:tcPr>
            <w:tcW w:type="dxa" w:w="6100"/>
            <w:tcBorders>
              <w:top w:val="single" w:color="000000" w:sz="4"/>
              <w:left w:val="single" w:color="000000" w:sz="4"/>
              <w:bottom w:val="single" w:color="000000" w:sz="4"/>
              <w:right w:val="single" w:color="000000" w:sz="4"/>
            </w:tcBorders>
            <w:shd w:fill="F5F5F5" w:color="auto" w:val="clear"/>
          </w:tcPr>
          <w:p>
            <w:pPr>
              <w:spacing w:after="0" w:before="0"/>
            </w:pPr>
            <w:r>
              <w:rPr>
                <w:rFonts w:ascii="Source Sans Pro" w:cs="Source Sans Pro" w:eastAsia="Source Sans Pro" w:hAnsi="Source Sans Pro"/>
                <w:b w:val="false"/>
                <w:bCs w:val="false"/>
                <w:sz w:val="18"/>
                <w:szCs w:val="18"/>
              </w:rPr>
              <w:t xml:space="preserve">Radiología, hemodinámica, radioterapia y estaciones de adquisición y tratamiento.</w:t>
            </w:r>
          </w:p>
        </w:tc>
      </w:tr>
      <w:tr>
        <w:tc>
          <w:tcPr>
            <w:tcW w:type="dxa" w:w="2400"/>
            <w:tcBorders>
              <w:top w:val="single" w:color="000000" w:sz="4"/>
              <w:left w:val="single" w:color="000000" w:sz="4"/>
              <w:bottom w:val="single" w:color="000000" w:sz="4"/>
              <w:right w:val="single" w:color="000000" w:sz="4"/>
            </w:tcBorders>
          </w:tcPr>
          <w:p>
            <w:pPr>
              <w:spacing w:after="0" w:before="0"/>
            </w:pPr>
            <w:r>
              <w:rPr>
                <w:rFonts w:ascii="Source Sans Pro" w:cs="Source Sans Pro" w:eastAsia="Source Sans Pro" w:hAnsi="Source Sans Pro"/>
                <w:b w:val="false"/>
                <w:bCs w:val="false"/>
                <w:sz w:val="18"/>
                <w:szCs w:val="18"/>
              </w:rPr>
              <w:t xml:space="preserve">Laboratorios y diagnóstico especializado</w:t>
            </w:r>
          </w:p>
        </w:tc>
        <w:tc>
          <w:tcPr>
            <w:tcW w:type="dxa" w:w="6100"/>
            <w:tcBorders>
              <w:top w:val="single" w:color="000000" w:sz="4"/>
              <w:left w:val="single" w:color="000000" w:sz="4"/>
              <w:bottom w:val="single" w:color="000000" w:sz="4"/>
              <w:right w:val="single" w:color="000000" w:sz="4"/>
            </w:tcBorders>
          </w:tcPr>
          <w:p>
            <w:pPr>
              <w:spacing w:after="0" w:before="0"/>
            </w:pPr>
            <w:r>
              <w:rPr>
                <w:rFonts w:ascii="Source Sans Pro" w:cs="Source Sans Pro" w:eastAsia="Source Sans Pro" w:hAnsi="Source Sans Pro"/>
                <w:b w:val="false"/>
                <w:bCs w:val="false"/>
                <w:sz w:val="18"/>
                <w:szCs w:val="18"/>
              </w:rPr>
              <w:t xml:space="preserve">Analizadores, estaciones de control, anatomía patológica digital y sistemas de consulta.</w:t>
            </w:r>
          </w:p>
        </w:tc>
      </w:tr>
      <w:tr>
        <w:tc>
          <w:tcPr>
            <w:tcW w:type="dxa" w:w="2400"/>
            <w:tcBorders>
              <w:top w:val="single" w:color="000000" w:sz="4"/>
              <w:left w:val="single" w:color="000000" w:sz="4"/>
              <w:bottom w:val="single" w:color="000000" w:sz="4"/>
              <w:right w:val="single" w:color="000000" w:sz="4"/>
            </w:tcBorders>
            <w:shd w:fill="F5F5F5" w:color="auto" w:val="clear"/>
          </w:tcPr>
          <w:p>
            <w:pPr>
              <w:spacing w:after="0" w:before="0"/>
            </w:pPr>
            <w:r>
              <w:rPr>
                <w:rFonts w:ascii="Source Sans Pro" w:cs="Source Sans Pro" w:eastAsia="Source Sans Pro" w:hAnsi="Source Sans Pro"/>
                <w:b w:val="false"/>
                <w:bCs w:val="false"/>
                <w:sz w:val="18"/>
                <w:szCs w:val="18"/>
              </w:rPr>
              <w:t xml:space="preserve">Infraestructura de soporte</w:t>
            </w:r>
          </w:p>
        </w:tc>
        <w:tc>
          <w:tcPr>
            <w:tcW w:type="dxa" w:w="6100"/>
            <w:tcBorders>
              <w:top w:val="single" w:color="000000" w:sz="4"/>
              <w:left w:val="single" w:color="000000" w:sz="4"/>
              <w:bottom w:val="single" w:color="000000" w:sz="4"/>
              <w:right w:val="single" w:color="000000" w:sz="4"/>
            </w:tcBorders>
            <w:shd w:fill="F5F5F5" w:color="auto" w:val="clear"/>
          </w:tcPr>
          <w:p>
            <w:pPr>
              <w:spacing w:after="0" w:before="0"/>
            </w:pPr>
            <w:r>
              <w:rPr>
                <w:rFonts w:ascii="Source Sans Pro" w:cs="Source Sans Pro" w:eastAsia="Source Sans Pro" w:hAnsi="Source Sans Pro"/>
                <w:b w:val="false"/>
                <w:bCs w:val="false"/>
                <w:sz w:val="18"/>
                <w:szCs w:val="18"/>
              </w:rPr>
              <w:t xml:space="preserve">Servidores físicos y virtuales, interfaces web, accesos remotos y conexiones de fabricantes.</w:t>
            </w:r>
          </w:p>
        </w:tc>
      </w:tr>
    </w:tbl>
    <w:p>
      <w:pPr>
        <w:spacing w:after="120"/>
      </w:pPr>
    </w:p>
    <w:p>
      <w:pPr>
        <w:keepNext/>
        <w:spacing w:after="80" w:before="240"/>
      </w:pPr>
      <w:r>
        <w:rPr>
          <w:rFonts w:ascii="Source Sans Pro" w:cs="Source Sans Pro" w:eastAsia="Source Sans Pro" w:hAnsi="Source Sans Pro"/>
          <w:b/>
          <w:bCs/>
          <w:color w:val="007A3D"/>
          <w:sz w:val="22"/>
          <w:szCs w:val="22"/>
        </w:rPr>
        <w:t xml:space="preserve">1.2. Necesidad e indicación clínica de la necesidad</w:t>
      </w:r>
    </w:p>
    <w:p>
      <w:pPr>
        <w:spacing w:after="120"/>
        <w:jc w:val="both"/>
      </w:pPr>
      <w:r>
        <w:rPr>
          <w:rFonts w:ascii="Source Sans Pro" w:cs="Source Sans Pro" w:eastAsia="Source Sans Pro" w:hAnsi="Source Sans Pro"/>
          <w:sz w:val="20"/>
          <w:szCs w:val="20"/>
        </w:rPr>
        <w:t xml:space="preserve">Un incidente de ciberseguridad puede interrumpir la transmisión de alarmas, impedir la consulta de resultados o retrasar procedimientos aunque el equipo siga encendido: la disponibilidad clínica depende también de las redes, del software y de los servidores. El mantenimiento preventivo y correctivo debe complementarse con vigilancia continua de versiones, comunicaciones y exposiciones, ya que altas, cambios de configuración y nuevas vulnerabilidades modifican el riesgo durante toda la vida útil del sistema.</w:t>
      </w:r>
    </w:p>
    <w:p>
      <w:pPr>
        <w:spacing w:after="120"/>
        <w:jc w:val="both"/>
      </w:pPr>
      <w:r>
        <w:rPr>
          <w:rFonts w:ascii="Source Sans Pro" w:cs="Source Sans Pro" w:eastAsia="Source Sans Pro" w:hAnsi="Source Sans Pro"/>
          <w:sz w:val="20"/>
          <w:szCs w:val="20"/>
        </w:rPr>
        <w:t xml:space="preserve">Los dispositivos con soporte limitado requieren medidas compensatorias (restricción de comunicaciones, segmentación) con riesgo residual documentado y aceptado. La vigilancia se extenderá a la red interna, priorizando servicios críticos y dependencias compartidas. No se realizarán desconexiones, exploraciones activas ni cambios automáticos sobre equipos asistenciales sin evaluación y autorización acordada con TIC, Electromedicina, el fabricante y el servicio usuario.</w:t>
      </w:r>
    </w:p>
    <w:p>
      <w:pPr>
        <w:spacing w:after="120"/>
        <w:jc w:val="both"/>
      </w:pPr>
      <w:r>
        <w:rPr>
          <w:rFonts w:ascii="Source Sans Pro" w:cs="Source Sans Pro" w:eastAsia="Source Sans Pro" w:hAnsi="Source Sans Pro"/>
          <w:sz w:val="20"/>
          <w:szCs w:val="20"/>
        </w:rPr>
        <w:t xml:space="preserve">Alertas y casos recientes que fundamentan la necesidad:</w:t>
      </w:r>
    </w:p>
    <w:tbl>
      <w:tblPr>
        <w:tblW w:type="dxa" w:w="850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6200"/>
      </w:tblGrid>
      <w:tr>
        <w:trPr>
          <w:tblHeader/>
        </w:trPr>
        <w:tc>
          <w:tcPr>
            <w:tcW w:type="dxa" w:w="2300"/>
            <w:tcBorders>
              <w:top w:val="single" w:color="000000" w:sz="4"/>
              <w:left w:val="single" w:color="000000" w:sz="4"/>
              <w:bottom w:val="single" w:color="000000" w:sz="4"/>
              <w:right w:val="single" w:color="000000" w:sz="4"/>
            </w:tcBorders>
            <w:shd w:fill="007A3D" w:color="auto" w:val="clear"/>
          </w:tcPr>
          <w:p>
            <w:pPr>
              <w:spacing w:after="0" w:before="0"/>
            </w:pPr>
            <w:r>
              <w:rPr>
                <w:rFonts w:ascii="Source Sans Pro" w:cs="Source Sans Pro" w:eastAsia="Source Sans Pro" w:hAnsi="Source Sans Pro"/>
                <w:b/>
                <w:bCs/>
                <w:color w:val="FFFFFF"/>
                <w:sz w:val="18"/>
                <w:szCs w:val="18"/>
              </w:rPr>
              <w:t xml:space="preserve">Caso</w:t>
            </w:r>
          </w:p>
        </w:tc>
        <w:tc>
          <w:tcPr>
            <w:tcW w:type="dxa" w:w="6200"/>
            <w:tcBorders>
              <w:top w:val="single" w:color="000000" w:sz="4"/>
              <w:left w:val="single" w:color="000000" w:sz="4"/>
              <w:bottom w:val="single" w:color="000000" w:sz="4"/>
              <w:right w:val="single" w:color="000000" w:sz="4"/>
            </w:tcBorders>
            <w:shd w:fill="007A3D" w:color="auto" w:val="clear"/>
          </w:tcPr>
          <w:p>
            <w:pPr>
              <w:spacing w:after="0" w:before="0"/>
            </w:pPr>
            <w:r>
              <w:rPr>
                <w:rFonts w:ascii="Source Sans Pro" w:cs="Source Sans Pro" w:eastAsia="Source Sans Pro" w:hAnsi="Source Sans Pro"/>
                <w:b/>
                <w:bCs/>
                <w:color w:val="FFFFFF"/>
                <w:sz w:val="18"/>
                <w:szCs w:val="18"/>
              </w:rPr>
              <w:t xml:space="preserve">Lección para el HRUM</w:t>
            </w:r>
          </w:p>
        </w:tc>
      </w:tr>
      <w:tr>
        <w:tc>
          <w:tcPr>
            <w:tcW w:type="dxa" w:w="2300"/>
            <w:tcBorders>
              <w:top w:val="single" w:color="000000" w:sz="4"/>
              <w:left w:val="single" w:color="000000" w:sz="4"/>
              <w:bottom w:val="single" w:color="000000" w:sz="4"/>
              <w:right w:val="single" w:color="000000" w:sz="4"/>
            </w:tcBorders>
            <w:shd w:fill="F5F5F5" w:color="auto" w:val="clear"/>
          </w:tcPr>
          <w:p>
            <w:pPr>
              <w:spacing w:after="0" w:before="0"/>
            </w:pPr>
            <w:r>
              <w:rPr>
                <w:rFonts w:ascii="Source Sans Pro" w:cs="Source Sans Pro" w:eastAsia="Source Sans Pro" w:hAnsi="Source Sans Pro"/>
                <w:b w:val="false"/>
                <w:bCs w:val="false"/>
                <w:sz w:val="18"/>
                <w:szCs w:val="18"/>
              </w:rPr>
              <w:t xml:space="preserve">PHP2Shell (CERT-EU 2026-018, 21/10/2026) [1]</w:t>
            </w:r>
          </w:p>
        </w:tc>
        <w:tc>
          <w:tcPr>
            <w:tcW w:type="dxa" w:w="6200"/>
            <w:tcBorders>
              <w:top w:val="single" w:color="000000" w:sz="4"/>
              <w:left w:val="single" w:color="000000" w:sz="4"/>
              <w:bottom w:val="single" w:color="000000" w:sz="4"/>
              <w:right w:val="single" w:color="000000" w:sz="4"/>
            </w:tcBorders>
            <w:shd w:fill="F5F5F5" w:color="auto" w:val="clear"/>
          </w:tcPr>
          <w:p>
            <w:pPr>
              <w:spacing w:after="0" w:before="0"/>
            </w:pPr>
            <w:r>
              <w:rPr>
                <w:rFonts w:ascii="Source Sans Pro" w:cs="Source Sans Pro" w:eastAsia="Source Sans Pro" w:hAnsi="Source Sans Pro"/>
                <w:b w:val="false"/>
                <w:bCs w:val="false"/>
                <w:sz w:val="18"/>
                <w:szCs w:val="18"/>
              </w:rPr>
              <w:t xml:space="preserve">Ejecución remota de código sin autenticación en instalaciones PHP (CVE-2026-109618 y CVE-2026-109619). Responder exige inventario técnico previo, localizar los equipos afectados y confirmar la exposición real.</w:t>
            </w:r>
          </w:p>
        </w:tc>
      </w:tr>
      <w:tr>
        <w:tc>
          <w:tcPr>
            <w:tcW w:type="dxa" w:w="2300"/>
            <w:tcBorders>
              <w:top w:val="single" w:color="000000" w:sz="4"/>
              <w:left w:val="single" w:color="000000" w:sz="4"/>
              <w:bottom w:val="single" w:color="000000" w:sz="4"/>
              <w:right w:val="single" w:color="000000" w:sz="4"/>
            </w:tcBorders>
          </w:tcPr>
          <w:p>
            <w:pPr>
              <w:spacing w:after="0" w:before="0"/>
            </w:pPr>
            <w:r>
              <w:rPr>
                <w:rFonts w:ascii="Source Sans Pro" w:cs="Source Sans Pro" w:eastAsia="Source Sans Pro" w:hAnsi="Source Sans Pro"/>
                <w:b w:val="false"/>
                <w:bCs w:val="false"/>
                <w:sz w:val="18"/>
                <w:szCs w:val="18"/>
              </w:rPr>
              <w:t xml:space="preserve">Monitores Contec CMS8000 y Epsimed MN-120 (FDA, 2025) [2]</w:t>
            </w:r>
          </w:p>
        </w:tc>
        <w:tc>
          <w:tcPr>
            <w:tcW w:type="dxa" w:w="6200"/>
            <w:tcBorders>
              <w:top w:val="single" w:color="000000" w:sz="4"/>
              <w:left w:val="single" w:color="000000" w:sz="4"/>
              <w:bottom w:val="single" w:color="000000" w:sz="4"/>
              <w:right w:val="single" w:color="000000" w:sz="4"/>
            </w:tcBorders>
          </w:tcPr>
          <w:p>
            <w:pPr>
              <w:spacing w:after="0" w:before="0"/>
            </w:pPr>
            <w:r>
              <w:rPr>
                <w:rFonts w:ascii="Source Sans Pro" w:cs="Source Sans Pro" w:eastAsia="Source Sans Pro" w:hAnsi="Source Sans Pro"/>
                <w:b w:val="false"/>
                <w:bCs w:val="false"/>
                <w:sz w:val="18"/>
                <w:szCs w:val="18"/>
              </w:rPr>
              <w:t xml:space="preserve">El parche elimina la funcionalidad de red: una corrección de seguridad puede modificar la prestación clínica y requiere evaluación conjunta antes de implantarse.</w:t>
            </w:r>
          </w:p>
        </w:tc>
      </w:tr>
      <w:tr>
        <w:tc>
          <w:tcPr>
            <w:tcW w:type="dxa" w:w="2300"/>
            <w:tcBorders>
              <w:top w:val="single" w:color="000000" w:sz="4"/>
              <w:left w:val="single" w:color="000000" w:sz="4"/>
              <w:bottom w:val="single" w:color="000000" w:sz="4"/>
              <w:right w:val="single" w:color="000000" w:sz="4"/>
            </w:tcBorders>
            <w:shd w:fill="F5F5F5" w:color="auto" w:val="clear"/>
          </w:tcPr>
          <w:p>
            <w:pPr>
              <w:spacing w:after="0" w:before="0"/>
            </w:pPr>
            <w:r>
              <w:rPr>
                <w:rFonts w:ascii="Source Sans Pro" w:cs="Source Sans Pro" w:eastAsia="Source Sans Pro" w:hAnsi="Source Sans Pro"/>
                <w:b w:val="false"/>
                <w:bCs w:val="false"/>
                <w:sz w:val="18"/>
                <w:szCs w:val="18"/>
              </w:rPr>
              <w:t xml:space="preserve">jQuery CVE-2020-11023 en productos Philips (2025) [3]</w:t>
            </w:r>
          </w:p>
        </w:tc>
        <w:tc>
          <w:tcPr>
            <w:tcW w:type="dxa" w:w="6200"/>
            <w:tcBorders>
              <w:top w:val="single" w:color="000000" w:sz="4"/>
              <w:left w:val="single" w:color="000000" w:sz="4"/>
              <w:bottom w:val="single" w:color="000000" w:sz="4"/>
              <w:right w:val="single" w:color="000000" w:sz="4"/>
            </w:tcBorders>
            <w:shd w:fill="F5F5F5" w:color="auto" w:val="clear"/>
          </w:tcPr>
          <w:p>
            <w:pPr>
              <w:spacing w:after="0" w:before="0"/>
            </w:pPr>
            <w:r>
              <w:rPr>
                <w:rFonts w:ascii="Source Sans Pro" w:cs="Source Sans Pro" w:eastAsia="Source Sans Pro" w:hAnsi="Source Sans Pro"/>
                <w:b w:val="false"/>
                <w:bCs w:val="false"/>
                <w:sz w:val="18"/>
                <w:szCs w:val="18"/>
              </w:rPr>
              <w:t xml:space="preserve">El análisis debe alcanzar librerías y aplicaciones asociadas; la respuesta depende de la versión y de las instrucciones del fabricante.</w:t>
            </w:r>
          </w:p>
        </w:tc>
      </w:tr>
      <w:tr>
        <w:tc>
          <w:tcPr>
            <w:tcW w:type="dxa" w:w="2300"/>
            <w:tcBorders>
              <w:top w:val="single" w:color="000000" w:sz="4"/>
              <w:left w:val="single" w:color="000000" w:sz="4"/>
              <w:bottom w:val="single" w:color="000000" w:sz="4"/>
              <w:right w:val="single" w:color="000000" w:sz="4"/>
            </w:tcBorders>
          </w:tcPr>
          <w:p>
            <w:pPr>
              <w:spacing w:after="0" w:before="0"/>
            </w:pPr>
            <w:r>
              <w:rPr>
                <w:rFonts w:ascii="Source Sans Pro" w:cs="Source Sans Pro" w:eastAsia="Source Sans Pro" w:hAnsi="Source Sans Pro"/>
                <w:b w:val="false"/>
                <w:bCs w:val="false"/>
                <w:sz w:val="18"/>
                <w:szCs w:val="18"/>
              </w:rPr>
              <w:t xml:space="preserve">Synnovis (NHS, 2024-2025) [4]</w:t>
            </w:r>
          </w:p>
        </w:tc>
        <w:tc>
          <w:tcPr>
            <w:tcW w:type="dxa" w:w="6200"/>
            <w:tcBorders>
              <w:top w:val="single" w:color="000000" w:sz="4"/>
              <w:left w:val="single" w:color="000000" w:sz="4"/>
              <w:bottom w:val="single" w:color="000000" w:sz="4"/>
              <w:right w:val="single" w:color="000000" w:sz="4"/>
            </w:tcBorders>
          </w:tcPr>
          <w:p>
            <w:pPr>
              <w:spacing w:after="0" w:before="0"/>
            </w:pPr>
            <w:r>
              <w:rPr>
                <w:rFonts w:ascii="Source Sans Pro" w:cs="Source Sans Pro" w:eastAsia="Source Sans Pro" w:hAnsi="Source Sans Pro"/>
                <w:b w:val="false"/>
                <w:bCs w:val="false"/>
                <w:sz w:val="18"/>
                <w:szCs w:val="18"/>
              </w:rPr>
              <w:t xml:space="preserve">Dependencias entre hospitales y proveedores con consecuencias prolongadas tras recuperar los sistemas.</w:t>
            </w:r>
          </w:p>
        </w:tc>
      </w:tr>
    </w:tbl>
    <w:p>
      <w:pPr>
        <w:spacing w:after="120"/>
      </w:pPr>
    </w:p>
    <w:p>
      <w:pPr>
        <w:spacing w:after="120"/>
        <w:jc w:val="both"/>
      </w:pPr>
      <w:r>
        <w:rPr>
          <w:rFonts w:ascii="Source Sans Pro" w:cs="Source Sans Pro" w:eastAsia="Source Sans Pro" w:hAnsi="Source Sans Pro"/>
          <w:sz w:val="20"/>
          <w:szCs w:val="20"/>
        </w:rPr>
        <w:t xml:space="preserve">Estos antecedentes justifican mantener capacidad de vigilancia y respuesta; no se presentan como incidentes ocurridos en el HRUM.</w:t>
      </w:r>
    </w:p>
    <w:p>
      <w:pPr>
        <w:spacing w:after="120"/>
        <w:jc w:val="both"/>
      </w:pPr>
      <w:r>
        <w:rPr>
          <w:rFonts w:ascii="Source Sans Pro" w:cs="Source Sans Pro" w:eastAsia="Source Sans Pro" w:hAnsi="Source Sans Pro"/>
          <w:sz w:val="20"/>
          <w:szCs w:val="20"/>
        </w:rPr>
        <w:t xml:space="preserve">En la consulta de Claroty xDome del 22 de octubre de 2026 se accedió a inventario de dispositivos, aplicaciones, comunicaciones de red y fichas de vulnerabilidades. La ficha de PHP2Shell mostraba "Sin impacto actual" [5]. Este resultado orienta la revisión, pero no equivale a una certificación de ausencia de PHP vulnerable ni garantiza cobertura total: los totales de la consola mezclan categorías IT, IoT, OT y médicas, y una coincidencia de "PHP" en un identificador o la observación de HTTP no demuestran la instalación del lenguaje. La eficacia local de la plataforma debe medirse por cobertura verificable, calidad de identificación y cierre de actuaciones [6].</w:t>
      </w:r>
    </w:p>
    <w:p>
      <w:pPr>
        <w:keepNext/>
        <w:spacing w:after="80" w:before="240"/>
      </w:pPr>
      <w:r>
        <w:rPr>
          <w:rFonts w:ascii="Source Sans Pro" w:cs="Source Sans Pro" w:eastAsia="Source Sans Pro" w:hAnsi="Source Sans Pro"/>
          <w:b/>
          <w:bCs/>
          <w:color w:val="007A3D"/>
          <w:sz w:val="22"/>
          <w:szCs w:val="22"/>
        </w:rPr>
        <w:t xml:space="preserve">1.3. Datos de la actividad del Servicio de destino</w:t>
      </w:r>
    </w:p>
    <w:p>
      <w:pPr>
        <w:spacing w:after="120"/>
        <w:jc w:val="both"/>
      </w:pPr>
      <w:r>
        <w:rPr>
          <w:rFonts w:ascii="Source Sans Pro" w:cs="Source Sans Pro" w:eastAsia="Source Sans Pro" w:hAnsi="Source Sans Pro"/>
          <w:sz w:val="20"/>
          <w:szCs w:val="20"/>
        </w:rPr>
        <w:t xml:space="preserve">El volumen de 11.000 equipos y más de 1.000 conectados exige una actividad sostenida de inventario, revisión de alertas, coordinación con proveedores y seguimiento de medidas. La herramienta no elimina ese trabajo: permite concentrarlo en los equipos y exposiciones relevantes. Se propone un equipo funcional conjunto de dos profesionales, revisable a los seis meses según carga registrada:</w:t>
      </w:r>
    </w:p>
    <w:tbl>
      <w:tblPr>
        <w:tblW w:type="dxa" w:w="85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6100"/>
      </w:tblGrid>
      <w:tr>
        <w:trPr>
          <w:tblHeader/>
        </w:trPr>
        <w:tc>
          <w:tcPr>
            <w:tcW w:type="dxa" w:w="2400"/>
            <w:tcBorders>
              <w:top w:val="single" w:color="000000" w:sz="4"/>
              <w:left w:val="single" w:color="000000" w:sz="4"/>
              <w:bottom w:val="single" w:color="000000" w:sz="4"/>
              <w:right w:val="single" w:color="000000" w:sz="4"/>
            </w:tcBorders>
            <w:shd w:fill="007A3D" w:color="auto" w:val="clear"/>
          </w:tcPr>
          <w:p>
            <w:pPr>
              <w:spacing w:after="0" w:before="0"/>
            </w:pPr>
            <w:r>
              <w:rPr>
                <w:rFonts w:ascii="Source Sans Pro" w:cs="Source Sans Pro" w:eastAsia="Source Sans Pro" w:hAnsi="Source Sans Pro"/>
                <w:b/>
                <w:bCs/>
                <w:color w:val="FFFFFF"/>
                <w:sz w:val="18"/>
                <w:szCs w:val="18"/>
              </w:rPr>
              <w:t xml:space="preserve">Perfil</w:t>
            </w:r>
          </w:p>
        </w:tc>
        <w:tc>
          <w:tcPr>
            <w:tcW w:type="dxa" w:w="6100"/>
            <w:tcBorders>
              <w:top w:val="single" w:color="000000" w:sz="4"/>
              <w:left w:val="single" w:color="000000" w:sz="4"/>
              <w:bottom w:val="single" w:color="000000" w:sz="4"/>
              <w:right w:val="single" w:color="000000" w:sz="4"/>
            </w:tcBorders>
            <w:shd w:fill="007A3D" w:color="auto" w:val="clear"/>
          </w:tcPr>
          <w:p>
            <w:pPr>
              <w:spacing w:after="0" w:before="0"/>
            </w:pPr>
            <w:r>
              <w:rPr>
                <w:rFonts w:ascii="Source Sans Pro" w:cs="Source Sans Pro" w:eastAsia="Source Sans Pro" w:hAnsi="Source Sans Pro"/>
                <w:b/>
                <w:bCs/>
                <w:color w:val="FFFFFF"/>
                <w:sz w:val="18"/>
                <w:szCs w:val="18"/>
              </w:rPr>
              <w:t xml:space="preserve">Responsabilidad principal</w:t>
            </w:r>
          </w:p>
        </w:tc>
      </w:tr>
      <w:tr>
        <w:tc>
          <w:tcPr>
            <w:tcW w:type="dxa" w:w="2400"/>
            <w:tcBorders>
              <w:top w:val="single" w:color="000000" w:sz="4"/>
              <w:left w:val="single" w:color="000000" w:sz="4"/>
              <w:bottom w:val="single" w:color="000000" w:sz="4"/>
              <w:right w:val="single" w:color="000000" w:sz="4"/>
            </w:tcBorders>
            <w:shd w:fill="F5F5F5" w:color="auto" w:val="clear"/>
          </w:tcPr>
          <w:p>
            <w:pPr>
              <w:spacing w:after="0" w:before="0"/>
            </w:pPr>
            <w:r>
              <w:rPr>
                <w:rFonts w:ascii="Source Sans Pro" w:cs="Source Sans Pro" w:eastAsia="Source Sans Pro" w:hAnsi="Source Sans Pro"/>
                <w:b w:val="false"/>
                <w:bCs w:val="false"/>
                <w:sz w:val="18"/>
                <w:szCs w:val="18"/>
              </w:rPr>
              <w:t xml:space="preserve">Técnico especialista de Electromedicina</w:t>
            </w:r>
          </w:p>
        </w:tc>
        <w:tc>
          <w:tcPr>
            <w:tcW w:type="dxa" w:w="6100"/>
            <w:tcBorders>
              <w:top w:val="single" w:color="000000" w:sz="4"/>
              <w:left w:val="single" w:color="000000" w:sz="4"/>
              <w:bottom w:val="single" w:color="000000" w:sz="4"/>
              <w:right w:val="single" w:color="000000" w:sz="4"/>
            </w:tcBorders>
            <w:shd w:fill="F5F5F5" w:color="auto" w:val="clear"/>
          </w:tcPr>
          <w:p>
            <w:pPr>
              <w:spacing w:after="0" w:before="0"/>
            </w:pPr>
            <w:r>
              <w:rPr>
                <w:rFonts w:ascii="Source Sans Pro" w:cs="Source Sans Pro" w:eastAsia="Source Sans Pro" w:hAnsi="Source Sans Pro"/>
                <w:b w:val="false"/>
                <w:bCs w:val="false"/>
                <w:sz w:val="18"/>
                <w:szCs w:val="18"/>
              </w:rPr>
              <w:t xml:space="preserve">Identificación física y clínica; conciliación con MANSIS; criticidad; contacto con fabricantes; documentación MDS²; comprobación funcional tras cambios.</w:t>
            </w:r>
          </w:p>
        </w:tc>
      </w:tr>
      <w:tr>
        <w:tc>
          <w:tcPr>
            <w:tcW w:type="dxa" w:w="2400"/>
            <w:tcBorders>
              <w:top w:val="single" w:color="000000" w:sz="4"/>
              <w:left w:val="single" w:color="000000" w:sz="4"/>
              <w:bottom w:val="single" w:color="000000" w:sz="4"/>
              <w:right w:val="single" w:color="000000" w:sz="4"/>
            </w:tcBorders>
          </w:tcPr>
          <w:p>
            <w:pPr>
              <w:spacing w:after="0" w:before="0"/>
            </w:pPr>
            <w:r>
              <w:rPr>
                <w:rFonts w:ascii="Source Sans Pro" w:cs="Source Sans Pro" w:eastAsia="Source Sans Pro" w:hAnsi="Source Sans Pro"/>
                <w:b w:val="false"/>
                <w:bCs w:val="false"/>
                <w:sz w:val="18"/>
                <w:szCs w:val="18"/>
              </w:rPr>
              <w:t xml:space="preserve">Técnico informático de TIC</w:t>
            </w:r>
          </w:p>
        </w:tc>
        <w:tc>
          <w:tcPr>
            <w:tcW w:type="dxa" w:w="6100"/>
            <w:tcBorders>
              <w:top w:val="single" w:color="000000" w:sz="4"/>
              <w:left w:val="single" w:color="000000" w:sz="4"/>
              <w:bottom w:val="single" w:color="000000" w:sz="4"/>
              <w:right w:val="single" w:color="000000" w:sz="4"/>
            </w:tcBorders>
          </w:tcPr>
          <w:p>
            <w:pPr>
              <w:spacing w:after="0" w:before="0"/>
            </w:pPr>
            <w:r>
              <w:rPr>
                <w:rFonts w:ascii="Source Sans Pro" w:cs="Source Sans Pro" w:eastAsia="Source Sans Pro" w:hAnsi="Source Sans Pro"/>
                <w:b w:val="false"/>
                <w:bCs w:val="false"/>
                <w:sz w:val="18"/>
                <w:szCs w:val="18"/>
              </w:rPr>
              <w:t xml:space="preserve">Cobertura de sensores y redes; análisis de servicios y versiones; verificación de exposición y accesos remotos; ejecución autorizada de cambios de red y registros.</w:t>
            </w:r>
          </w:p>
        </w:tc>
      </w:tr>
      <w:tr>
        <w:tc>
          <w:tcPr>
            <w:tcW w:type="dxa" w:w="2400"/>
            <w:tcBorders>
              <w:top w:val="single" w:color="000000" w:sz="4"/>
              <w:left w:val="single" w:color="000000" w:sz="4"/>
              <w:bottom w:val="single" w:color="000000" w:sz="4"/>
              <w:right w:val="single" w:color="000000" w:sz="4"/>
            </w:tcBorders>
            <w:shd w:fill="F5F5F5" w:color="auto" w:val="clear"/>
          </w:tcPr>
          <w:p>
            <w:pPr>
              <w:spacing w:after="0" w:before="0"/>
            </w:pPr>
            <w:r>
              <w:rPr>
                <w:rFonts w:ascii="Source Sans Pro" w:cs="Source Sans Pro" w:eastAsia="Source Sans Pro" w:hAnsi="Source Sans Pro"/>
                <w:b w:val="false"/>
                <w:bCs w:val="false"/>
                <w:sz w:val="18"/>
                <w:szCs w:val="18"/>
              </w:rPr>
              <w:t xml:space="preserve">Trabajo conjunto</w:t>
            </w:r>
          </w:p>
        </w:tc>
        <w:tc>
          <w:tcPr>
            <w:tcW w:type="dxa" w:w="6100"/>
            <w:tcBorders>
              <w:top w:val="single" w:color="000000" w:sz="4"/>
              <w:left w:val="single" w:color="000000" w:sz="4"/>
              <w:bottom w:val="single" w:color="000000" w:sz="4"/>
              <w:right w:val="single" w:color="000000" w:sz="4"/>
            </w:tcBorders>
            <w:shd w:fill="F5F5F5" w:color="auto" w:val="clear"/>
          </w:tcPr>
          <w:p>
            <w:pPr>
              <w:spacing w:after="0" w:before="0"/>
            </w:pPr>
            <w:r>
              <w:rPr>
                <w:rFonts w:ascii="Source Sans Pro" w:cs="Source Sans Pro" w:eastAsia="Source Sans Pro" w:hAnsi="Source Sans Pro"/>
                <w:b w:val="false"/>
                <w:bCs w:val="false"/>
                <w:sz w:val="18"/>
                <w:szCs w:val="18"/>
              </w:rPr>
              <w:t xml:space="preserve">Validación de alertas, priorización, plan de tratamiento, pruebas, documentación y verificación del cierre. Las alertas fuera de jornada se canalizan por los mecanismos corporativos.</w:t>
            </w:r>
          </w:p>
        </w:tc>
      </w:tr>
    </w:tbl>
    <w:p>
      <w:pPr>
        <w:spacing w:after="120"/>
      </w:pPr>
    </w:p>
    <w:p>
      <w:pPr>
        <w:spacing w:after="120"/>
        <w:jc w:val="both"/>
      </w:pPr>
      <w:r>
        <w:rPr>
          <w:rFonts w:ascii="Source Sans Pro" w:cs="Source Sans Pro" w:eastAsia="Source Sans Pro" w:hAnsi="Source Sans Pro"/>
          <w:sz w:val="20"/>
          <w:szCs w:val="20"/>
        </w:rPr>
        <w:t xml:space="preserve">Escenario de dimensionamiento inicial sobre 1.000 equipos conectados (hipótesis de planificación en horas persona, a contrastar en los primeros seis meses):</w:t>
      </w:r>
    </w:p>
    <w:tbl>
      <w:tblPr>
        <w:tblW w:type="dxa" w:w="8500"/>
        <w:jc w:val="center"/>
        <w:tblBorders>
          <w:top w:val="single" w:color="auto" w:sz="4"/>
          <w:left w:val="single" w:color="auto" w:sz="4"/>
          <w:bottom w:val="single" w:color="auto" w:sz="4"/>
          <w:right w:val="single" w:color="auto" w:sz="4"/>
          <w:insideH w:val="single" w:color="auto" w:sz="4"/>
          <w:insideV w:val="single" w:color="auto" w:sz="4"/>
        </w:tblBorders>
      </w:tblPr>
      <w:tblGrid>
        <w:gridCol w:w="3300"/>
        <w:gridCol w:w="3700"/>
        <w:gridCol w:w="1500"/>
      </w:tblGrid>
      <w:tr>
        <w:trPr>
          <w:tblHeader/>
        </w:trPr>
        <w:tc>
          <w:tcPr>
            <w:tcW w:type="dxa" w:w="3300"/>
            <w:tcBorders>
              <w:top w:val="single" w:color="000000" w:sz="4"/>
              <w:left w:val="single" w:color="000000" w:sz="4"/>
              <w:bottom w:val="single" w:color="000000" w:sz="4"/>
              <w:right w:val="single" w:color="000000" w:sz="4"/>
            </w:tcBorders>
            <w:shd w:fill="007A3D" w:color="auto" w:val="clear"/>
          </w:tcPr>
          <w:p>
            <w:pPr>
              <w:spacing w:after="0" w:before="0"/>
            </w:pPr>
            <w:r>
              <w:rPr>
                <w:rFonts w:ascii="Source Sans Pro" w:cs="Source Sans Pro" w:eastAsia="Source Sans Pro" w:hAnsi="Source Sans Pro"/>
                <w:b/>
                <w:bCs/>
                <w:color w:val="FFFFFF"/>
                <w:sz w:val="18"/>
                <w:szCs w:val="18"/>
              </w:rPr>
              <w:t xml:space="preserve">Actividad estimada</w:t>
            </w:r>
          </w:p>
        </w:tc>
        <w:tc>
          <w:tcPr>
            <w:tcW w:type="dxa" w:w="3700"/>
            <w:tcBorders>
              <w:top w:val="single" w:color="000000" w:sz="4"/>
              <w:left w:val="single" w:color="000000" w:sz="4"/>
              <w:bottom w:val="single" w:color="000000" w:sz="4"/>
              <w:right w:val="single" w:color="000000" w:sz="4"/>
            </w:tcBorders>
            <w:shd w:fill="007A3D" w:color="auto" w:val="clear"/>
          </w:tcPr>
          <w:p>
            <w:pPr>
              <w:spacing w:after="0" w:before="0"/>
            </w:pPr>
            <w:r>
              <w:rPr>
                <w:rFonts w:ascii="Source Sans Pro" w:cs="Source Sans Pro" w:eastAsia="Source Sans Pro" w:hAnsi="Source Sans Pro"/>
                <w:b/>
                <w:bCs/>
                <w:color w:val="FFFFFF"/>
                <w:sz w:val="18"/>
                <w:szCs w:val="18"/>
              </w:rPr>
              <w:t xml:space="preserve">Hipótesis anual</w:t>
            </w:r>
          </w:p>
        </w:tc>
        <w:tc>
          <w:tcPr>
            <w:tcW w:type="dxa" w:w="1500"/>
            <w:tcBorders>
              <w:top w:val="single" w:color="000000" w:sz="4"/>
              <w:left w:val="single" w:color="000000" w:sz="4"/>
              <w:bottom w:val="single" w:color="000000" w:sz="4"/>
              <w:right w:val="single" w:color="000000" w:sz="4"/>
            </w:tcBorders>
            <w:shd w:fill="007A3D" w:color="auto" w:val="clear"/>
          </w:tcPr>
          <w:p>
            <w:pPr>
              <w:spacing w:after="0" w:before="0"/>
            </w:pPr>
            <w:r>
              <w:rPr>
                <w:rFonts w:ascii="Source Sans Pro" w:cs="Source Sans Pro" w:eastAsia="Source Sans Pro" w:hAnsi="Source Sans Pro"/>
                <w:b/>
                <w:bCs/>
                <w:color w:val="FFFFFF"/>
                <w:sz w:val="18"/>
                <w:szCs w:val="18"/>
              </w:rPr>
              <w:t xml:space="preserve">Horas persona</w:t>
            </w:r>
          </w:p>
        </w:tc>
      </w:tr>
      <w:tr>
        <w:tc>
          <w:tcPr>
            <w:tcW w:type="dxa" w:w="3300"/>
            <w:tcBorders>
              <w:top w:val="single" w:color="000000" w:sz="4"/>
              <w:left w:val="single" w:color="000000" w:sz="4"/>
              <w:bottom w:val="single" w:color="000000" w:sz="4"/>
              <w:right w:val="single" w:color="000000" w:sz="4"/>
            </w:tcBorders>
            <w:shd w:fill="F5F5F5" w:color="auto" w:val="clear"/>
          </w:tcPr>
          <w:p>
            <w:pPr>
              <w:spacing w:after="0" w:before="0"/>
            </w:pPr>
            <w:r>
              <w:rPr>
                <w:rFonts w:ascii="Source Sans Pro" w:cs="Source Sans Pro" w:eastAsia="Source Sans Pro" w:hAnsi="Source Sans Pro"/>
                <w:b w:val="false"/>
                <w:bCs w:val="false"/>
                <w:sz w:val="18"/>
                <w:szCs w:val="18"/>
              </w:rPr>
              <w:t xml:space="preserve">Revisión técnica de la ficha por equipo</w:t>
            </w:r>
          </w:p>
        </w:tc>
        <w:tc>
          <w:tcPr>
            <w:tcW w:type="dxa" w:w="3700"/>
            <w:tcBorders>
              <w:top w:val="single" w:color="000000" w:sz="4"/>
              <w:left w:val="single" w:color="000000" w:sz="4"/>
              <w:bottom w:val="single" w:color="000000" w:sz="4"/>
              <w:right w:val="single" w:color="000000" w:sz="4"/>
            </w:tcBorders>
            <w:shd w:fill="F5F5F5" w:color="auto" w:val="clear"/>
          </w:tcPr>
          <w:p>
            <w:pPr>
              <w:spacing w:after="0" w:before="0"/>
            </w:pPr>
            <w:r>
              <w:rPr>
                <w:rFonts w:ascii="Source Sans Pro" w:cs="Source Sans Pro" w:eastAsia="Source Sans Pro" w:hAnsi="Source Sans Pro"/>
                <w:b w:val="false"/>
                <w:bCs w:val="false"/>
                <w:sz w:val="18"/>
                <w:szCs w:val="18"/>
              </w:rPr>
              <w:t xml:space="preserve">1.000 equipos × 1,5 h/año</w:t>
            </w:r>
          </w:p>
        </w:tc>
        <w:tc>
          <w:tcPr>
            <w:tcW w:type="dxa" w:w="1500"/>
            <w:tcBorders>
              <w:top w:val="single" w:color="000000" w:sz="4"/>
              <w:left w:val="single" w:color="000000" w:sz="4"/>
              <w:bottom w:val="single" w:color="000000" w:sz="4"/>
              <w:right w:val="single" w:color="000000" w:sz="4"/>
            </w:tcBorders>
            <w:shd w:fill="F5F5F5" w:color="auto" w:val="clear"/>
          </w:tcPr>
          <w:p>
            <w:pPr>
              <w:spacing w:after="0" w:before="0"/>
            </w:pPr>
            <w:r>
              <w:rPr>
                <w:rFonts w:ascii="Source Sans Pro" w:cs="Source Sans Pro" w:eastAsia="Source Sans Pro" w:hAnsi="Source Sans Pro"/>
                <w:b w:val="false"/>
                <w:bCs w:val="false"/>
                <w:sz w:val="18"/>
                <w:szCs w:val="18"/>
              </w:rPr>
              <w:t xml:space="preserve">1.500</w:t>
            </w:r>
          </w:p>
        </w:tc>
      </w:tr>
      <w:tr>
        <w:tc>
          <w:tcPr>
            <w:tcW w:type="dxa" w:w="3300"/>
            <w:tcBorders>
              <w:top w:val="single" w:color="000000" w:sz="4"/>
              <w:left w:val="single" w:color="000000" w:sz="4"/>
              <w:bottom w:val="single" w:color="000000" w:sz="4"/>
              <w:right w:val="single" w:color="000000" w:sz="4"/>
            </w:tcBorders>
          </w:tcPr>
          <w:p>
            <w:pPr>
              <w:spacing w:after="0" w:before="0"/>
            </w:pPr>
            <w:r>
              <w:rPr>
                <w:rFonts w:ascii="Source Sans Pro" w:cs="Source Sans Pro" w:eastAsia="Source Sans Pro" w:hAnsi="Source Sans Pro"/>
                <w:b w:val="false"/>
                <w:bCs w:val="false"/>
                <w:sz w:val="18"/>
                <w:szCs w:val="18"/>
              </w:rPr>
              <w:t xml:space="preserve">Altas y cambios de sistemas</w:t>
            </w:r>
          </w:p>
        </w:tc>
        <w:tc>
          <w:tcPr>
            <w:tcW w:type="dxa" w:w="3700"/>
            <w:tcBorders>
              <w:top w:val="single" w:color="000000" w:sz="4"/>
              <w:left w:val="single" w:color="000000" w:sz="4"/>
              <w:bottom w:val="single" w:color="000000" w:sz="4"/>
              <w:right w:val="single" w:color="000000" w:sz="4"/>
            </w:tcBorders>
          </w:tcPr>
          <w:p>
            <w:pPr>
              <w:spacing w:after="0" w:before="0"/>
            </w:pPr>
            <w:r>
              <w:rPr>
                <w:rFonts w:ascii="Source Sans Pro" w:cs="Source Sans Pro" w:eastAsia="Source Sans Pro" w:hAnsi="Source Sans Pro"/>
                <w:b w:val="false"/>
                <w:bCs w:val="false"/>
                <w:sz w:val="18"/>
                <w:szCs w:val="18"/>
              </w:rPr>
              <w:t xml:space="preserve">20 actuaciones/mes × 2 h × 12 meses</w:t>
            </w:r>
          </w:p>
        </w:tc>
        <w:tc>
          <w:tcPr>
            <w:tcW w:type="dxa" w:w="1500"/>
            <w:tcBorders>
              <w:top w:val="single" w:color="000000" w:sz="4"/>
              <w:left w:val="single" w:color="000000" w:sz="4"/>
              <w:bottom w:val="single" w:color="000000" w:sz="4"/>
              <w:right w:val="single" w:color="000000" w:sz="4"/>
            </w:tcBorders>
          </w:tcPr>
          <w:p>
            <w:pPr>
              <w:spacing w:after="0" w:before="0"/>
            </w:pPr>
            <w:r>
              <w:rPr>
                <w:rFonts w:ascii="Source Sans Pro" w:cs="Source Sans Pro" w:eastAsia="Source Sans Pro" w:hAnsi="Source Sans Pro"/>
                <w:b w:val="false"/>
                <w:bCs w:val="false"/>
                <w:sz w:val="18"/>
                <w:szCs w:val="18"/>
              </w:rPr>
              <w:t xml:space="preserve">480</w:t>
            </w:r>
          </w:p>
        </w:tc>
      </w:tr>
      <w:tr>
        <w:tc>
          <w:tcPr>
            <w:tcW w:type="dxa" w:w="3300"/>
            <w:tcBorders>
              <w:top w:val="single" w:color="000000" w:sz="4"/>
              <w:left w:val="single" w:color="000000" w:sz="4"/>
              <w:bottom w:val="single" w:color="000000" w:sz="4"/>
              <w:right w:val="single" w:color="000000" w:sz="4"/>
            </w:tcBorders>
            <w:shd w:fill="F5F5F5" w:color="auto" w:val="clear"/>
          </w:tcPr>
          <w:p>
            <w:pPr>
              <w:spacing w:after="0" w:before="0"/>
            </w:pPr>
            <w:r>
              <w:rPr>
                <w:rFonts w:ascii="Source Sans Pro" w:cs="Source Sans Pro" w:eastAsia="Source Sans Pro" w:hAnsi="Source Sans Pro"/>
                <w:b w:val="false"/>
                <w:bCs w:val="false"/>
                <w:sz w:val="18"/>
                <w:szCs w:val="18"/>
              </w:rPr>
              <w:t xml:space="preserve">Triaje de alertas y comunicaciones</w:t>
            </w:r>
          </w:p>
        </w:tc>
        <w:tc>
          <w:tcPr>
            <w:tcW w:type="dxa" w:w="3700"/>
            <w:tcBorders>
              <w:top w:val="single" w:color="000000" w:sz="4"/>
              <w:left w:val="single" w:color="000000" w:sz="4"/>
              <w:bottom w:val="single" w:color="000000" w:sz="4"/>
              <w:right w:val="single" w:color="000000" w:sz="4"/>
            </w:tcBorders>
            <w:shd w:fill="F5F5F5" w:color="auto" w:val="clear"/>
          </w:tcPr>
          <w:p>
            <w:pPr>
              <w:spacing w:after="0" w:before="0"/>
            </w:pPr>
            <w:r>
              <w:rPr>
                <w:rFonts w:ascii="Source Sans Pro" w:cs="Source Sans Pro" w:eastAsia="Source Sans Pro" w:hAnsi="Source Sans Pro"/>
                <w:b w:val="false"/>
                <w:bCs w:val="false"/>
                <w:sz w:val="18"/>
                <w:szCs w:val="18"/>
              </w:rPr>
              <w:t xml:space="preserve">2 h/día × 220 días</w:t>
            </w:r>
          </w:p>
        </w:tc>
        <w:tc>
          <w:tcPr>
            <w:tcW w:type="dxa" w:w="1500"/>
            <w:tcBorders>
              <w:top w:val="single" w:color="000000" w:sz="4"/>
              <w:left w:val="single" w:color="000000" w:sz="4"/>
              <w:bottom w:val="single" w:color="000000" w:sz="4"/>
              <w:right w:val="single" w:color="000000" w:sz="4"/>
            </w:tcBorders>
            <w:shd w:fill="F5F5F5" w:color="auto" w:val="clear"/>
          </w:tcPr>
          <w:p>
            <w:pPr>
              <w:spacing w:after="0" w:before="0"/>
            </w:pPr>
            <w:r>
              <w:rPr>
                <w:rFonts w:ascii="Source Sans Pro" w:cs="Source Sans Pro" w:eastAsia="Source Sans Pro" w:hAnsi="Source Sans Pro"/>
                <w:b w:val="false"/>
                <w:bCs w:val="false"/>
                <w:sz w:val="18"/>
                <w:szCs w:val="18"/>
              </w:rPr>
              <w:t xml:space="preserve">440</w:t>
            </w:r>
          </w:p>
        </w:tc>
      </w:tr>
      <w:tr>
        <w:tc>
          <w:tcPr>
            <w:tcW w:type="dxa" w:w="3300"/>
            <w:tcBorders>
              <w:top w:val="single" w:color="000000" w:sz="4"/>
              <w:left w:val="single" w:color="000000" w:sz="4"/>
              <w:bottom w:val="single" w:color="000000" w:sz="4"/>
              <w:right w:val="single" w:color="000000" w:sz="4"/>
            </w:tcBorders>
          </w:tcPr>
          <w:p>
            <w:pPr>
              <w:spacing w:after="0" w:before="0"/>
            </w:pPr>
            <w:r>
              <w:rPr>
                <w:rFonts w:ascii="Source Sans Pro" w:cs="Source Sans Pro" w:eastAsia="Source Sans Pro" w:hAnsi="Source Sans Pro"/>
                <w:b w:val="false"/>
                <w:bCs w:val="false"/>
                <w:sz w:val="18"/>
                <w:szCs w:val="18"/>
              </w:rPr>
              <w:t xml:space="preserve">Análisis de avisos y consultas a fabricantes</w:t>
            </w:r>
          </w:p>
        </w:tc>
        <w:tc>
          <w:tcPr>
            <w:tcW w:type="dxa" w:w="3700"/>
            <w:tcBorders>
              <w:top w:val="single" w:color="000000" w:sz="4"/>
              <w:left w:val="single" w:color="000000" w:sz="4"/>
              <w:bottom w:val="single" w:color="000000" w:sz="4"/>
              <w:right w:val="single" w:color="000000" w:sz="4"/>
            </w:tcBorders>
          </w:tcPr>
          <w:p>
            <w:pPr>
              <w:spacing w:after="0" w:before="0"/>
            </w:pPr>
            <w:r>
              <w:rPr>
                <w:rFonts w:ascii="Source Sans Pro" w:cs="Source Sans Pro" w:eastAsia="Source Sans Pro" w:hAnsi="Source Sans Pro"/>
                <w:b w:val="false"/>
                <w:bCs w:val="false"/>
                <w:sz w:val="18"/>
                <w:szCs w:val="18"/>
              </w:rPr>
              <w:t xml:space="preserve">6 h/semana × 46 semanas</w:t>
            </w:r>
          </w:p>
        </w:tc>
        <w:tc>
          <w:tcPr>
            <w:tcW w:type="dxa" w:w="1500"/>
            <w:tcBorders>
              <w:top w:val="single" w:color="000000" w:sz="4"/>
              <w:left w:val="single" w:color="000000" w:sz="4"/>
              <w:bottom w:val="single" w:color="000000" w:sz="4"/>
              <w:right w:val="single" w:color="000000" w:sz="4"/>
            </w:tcBorders>
          </w:tcPr>
          <w:p>
            <w:pPr>
              <w:spacing w:after="0" w:before="0"/>
            </w:pPr>
            <w:r>
              <w:rPr>
                <w:rFonts w:ascii="Source Sans Pro" w:cs="Source Sans Pro" w:eastAsia="Source Sans Pro" w:hAnsi="Source Sans Pro"/>
                <w:b w:val="false"/>
                <w:bCs w:val="false"/>
                <w:sz w:val="18"/>
                <w:szCs w:val="18"/>
              </w:rPr>
              <w:t xml:space="preserve">276</w:t>
            </w:r>
          </w:p>
        </w:tc>
      </w:tr>
      <w:tr>
        <w:tc>
          <w:tcPr>
            <w:tcW w:type="dxa" w:w="3300"/>
            <w:tcBorders>
              <w:top w:val="single" w:color="000000" w:sz="4"/>
              <w:left w:val="single" w:color="000000" w:sz="4"/>
              <w:bottom w:val="single" w:color="000000" w:sz="4"/>
              <w:right w:val="single" w:color="000000" w:sz="4"/>
            </w:tcBorders>
            <w:shd w:fill="F5F5F5" w:color="auto" w:val="clear"/>
          </w:tcPr>
          <w:p>
            <w:pPr>
              <w:spacing w:after="0" w:before="0"/>
            </w:pPr>
            <w:r>
              <w:rPr>
                <w:rFonts w:ascii="Source Sans Pro" w:cs="Source Sans Pro" w:eastAsia="Source Sans Pro" w:hAnsi="Source Sans Pro"/>
                <w:b w:val="false"/>
                <w:bCs w:val="false"/>
                <w:sz w:val="18"/>
                <w:szCs w:val="18"/>
              </w:rPr>
              <w:t xml:space="preserve">Pruebas y cambios coordinados</w:t>
            </w:r>
          </w:p>
        </w:tc>
        <w:tc>
          <w:tcPr>
            <w:tcW w:type="dxa" w:w="3700"/>
            <w:tcBorders>
              <w:top w:val="single" w:color="000000" w:sz="4"/>
              <w:left w:val="single" w:color="000000" w:sz="4"/>
              <w:bottom w:val="single" w:color="000000" w:sz="4"/>
              <w:right w:val="single" w:color="000000" w:sz="4"/>
            </w:tcBorders>
            <w:shd w:fill="F5F5F5" w:color="auto" w:val="clear"/>
          </w:tcPr>
          <w:p>
            <w:pPr>
              <w:spacing w:after="0" w:before="0"/>
            </w:pPr>
            <w:r>
              <w:rPr>
                <w:rFonts w:ascii="Source Sans Pro" w:cs="Source Sans Pro" w:eastAsia="Source Sans Pro" w:hAnsi="Source Sans Pro"/>
                <w:b w:val="false"/>
                <w:bCs w:val="false"/>
                <w:sz w:val="18"/>
                <w:szCs w:val="18"/>
              </w:rPr>
              <w:t xml:space="preserve">8 h/semana × 46 semanas</w:t>
            </w:r>
          </w:p>
        </w:tc>
        <w:tc>
          <w:tcPr>
            <w:tcW w:type="dxa" w:w="1500"/>
            <w:tcBorders>
              <w:top w:val="single" w:color="000000" w:sz="4"/>
              <w:left w:val="single" w:color="000000" w:sz="4"/>
              <w:bottom w:val="single" w:color="000000" w:sz="4"/>
              <w:right w:val="single" w:color="000000" w:sz="4"/>
            </w:tcBorders>
            <w:shd w:fill="F5F5F5" w:color="auto" w:val="clear"/>
          </w:tcPr>
          <w:p>
            <w:pPr>
              <w:spacing w:after="0" w:before="0"/>
            </w:pPr>
            <w:r>
              <w:rPr>
                <w:rFonts w:ascii="Source Sans Pro" w:cs="Source Sans Pro" w:eastAsia="Source Sans Pro" w:hAnsi="Source Sans Pro"/>
                <w:b w:val="false"/>
                <w:bCs w:val="false"/>
                <w:sz w:val="18"/>
                <w:szCs w:val="18"/>
              </w:rPr>
              <w:t xml:space="preserve">368</w:t>
            </w:r>
          </w:p>
        </w:tc>
      </w:tr>
      <w:tr>
        <w:tc>
          <w:tcPr>
            <w:tcW w:type="dxa" w:w="3300"/>
            <w:tcBorders>
              <w:top w:val="single" w:color="000000" w:sz="4"/>
              <w:left w:val="single" w:color="000000" w:sz="4"/>
              <w:bottom w:val="single" w:color="000000" w:sz="4"/>
              <w:right w:val="single" w:color="000000" w:sz="4"/>
            </w:tcBorders>
          </w:tcPr>
          <w:p>
            <w:pPr>
              <w:spacing w:after="0" w:before="0"/>
            </w:pPr>
            <w:r>
              <w:rPr>
                <w:rFonts w:ascii="Source Sans Pro" w:cs="Source Sans Pro" w:eastAsia="Source Sans Pro" w:hAnsi="Source Sans Pro"/>
                <w:b w:val="false"/>
                <w:bCs w:val="false"/>
                <w:sz w:val="18"/>
                <w:szCs w:val="18"/>
              </w:rPr>
              <w:t xml:space="preserve">Seguimiento e informes</w:t>
            </w:r>
          </w:p>
        </w:tc>
        <w:tc>
          <w:tcPr>
            <w:tcW w:type="dxa" w:w="3700"/>
            <w:tcBorders>
              <w:top w:val="single" w:color="000000" w:sz="4"/>
              <w:left w:val="single" w:color="000000" w:sz="4"/>
              <w:bottom w:val="single" w:color="000000" w:sz="4"/>
              <w:right w:val="single" w:color="000000" w:sz="4"/>
            </w:tcBorders>
          </w:tcPr>
          <w:p>
            <w:pPr>
              <w:spacing w:after="0" w:before="0"/>
            </w:pPr>
            <w:r>
              <w:rPr>
                <w:rFonts w:ascii="Source Sans Pro" w:cs="Source Sans Pro" w:eastAsia="Source Sans Pro" w:hAnsi="Source Sans Pro"/>
                <w:b w:val="false"/>
                <w:bCs w:val="false"/>
                <w:sz w:val="18"/>
                <w:szCs w:val="18"/>
              </w:rPr>
              <w:t xml:space="preserve">8 h/mes × 12 meses</w:t>
            </w:r>
          </w:p>
        </w:tc>
        <w:tc>
          <w:tcPr>
            <w:tcW w:type="dxa" w:w="1500"/>
            <w:tcBorders>
              <w:top w:val="single" w:color="000000" w:sz="4"/>
              <w:left w:val="single" w:color="000000" w:sz="4"/>
              <w:bottom w:val="single" w:color="000000" w:sz="4"/>
              <w:right w:val="single" w:color="000000" w:sz="4"/>
            </w:tcBorders>
          </w:tcPr>
          <w:p>
            <w:pPr>
              <w:spacing w:after="0" w:before="0"/>
            </w:pPr>
            <w:r>
              <w:rPr>
                <w:rFonts w:ascii="Source Sans Pro" w:cs="Source Sans Pro" w:eastAsia="Source Sans Pro" w:hAnsi="Source Sans Pro"/>
                <w:b w:val="false"/>
                <w:bCs w:val="false"/>
                <w:sz w:val="18"/>
                <w:szCs w:val="18"/>
              </w:rPr>
              <w:t xml:space="preserve">96</w:t>
            </w:r>
          </w:p>
        </w:tc>
      </w:tr>
      <w:tr>
        <w:tc>
          <w:tcPr>
            <w:tcW w:type="dxa" w:w="3300"/>
            <w:tcBorders>
              <w:top w:val="single" w:color="000000" w:sz="4"/>
              <w:left w:val="single" w:color="000000" w:sz="4"/>
              <w:bottom w:val="single" w:color="000000" w:sz="4"/>
              <w:right w:val="single" w:color="000000" w:sz="4"/>
            </w:tcBorders>
            <w:shd w:fill="F5F5F5" w:color="auto" w:val="clear"/>
          </w:tcPr>
          <w:p>
            <w:pPr>
              <w:spacing w:after="0" w:before="0"/>
            </w:pPr>
            <w:r>
              <w:rPr>
                <w:rFonts w:ascii="Source Sans Pro" w:cs="Source Sans Pro" w:eastAsia="Source Sans Pro" w:hAnsi="Source Sans Pro"/>
                <w:b w:val="false"/>
                <w:bCs w:val="false"/>
                <w:sz w:val="18"/>
                <w:szCs w:val="18"/>
              </w:rPr>
              <w:t xml:space="preserve">Total de referencia</w:t>
            </w:r>
          </w:p>
        </w:tc>
        <w:tc>
          <w:tcPr>
            <w:tcW w:type="dxa" w:w="3700"/>
            <w:tcBorders>
              <w:top w:val="single" w:color="000000" w:sz="4"/>
              <w:left w:val="single" w:color="000000" w:sz="4"/>
              <w:bottom w:val="single" w:color="000000" w:sz="4"/>
              <w:right w:val="single" w:color="000000" w:sz="4"/>
            </w:tcBorders>
            <w:shd w:fill="F5F5F5" w:color="auto" w:val="clear"/>
          </w:tcPr>
          <w:p>
            <w:pPr>
              <w:spacing w:after="0" w:before="0"/>
            </w:pPr>
            <w:r>
              <w:rPr>
                <w:rFonts w:ascii="Source Sans Pro" w:cs="Source Sans Pro" w:eastAsia="Source Sans Pro" w:hAnsi="Source Sans Pro"/>
                <w:b w:val="false"/>
                <w:bCs w:val="false"/>
                <w:sz w:val="18"/>
                <w:szCs w:val="18"/>
              </w:rPr>
              <w:t xml:space="preserve">Suma del escenario inicial</w:t>
            </w:r>
          </w:p>
        </w:tc>
        <w:tc>
          <w:tcPr>
            <w:tcW w:type="dxa" w:w="1500"/>
            <w:tcBorders>
              <w:top w:val="single" w:color="000000" w:sz="4"/>
              <w:left w:val="single" w:color="000000" w:sz="4"/>
              <w:bottom w:val="single" w:color="000000" w:sz="4"/>
              <w:right w:val="single" w:color="000000" w:sz="4"/>
            </w:tcBorders>
            <w:shd w:fill="F5F5F5" w:color="auto" w:val="clear"/>
          </w:tcPr>
          <w:p>
            <w:pPr>
              <w:spacing w:after="0" w:before="0"/>
            </w:pPr>
            <w:r>
              <w:rPr>
                <w:rFonts w:ascii="Source Sans Pro" w:cs="Source Sans Pro" w:eastAsia="Source Sans Pro" w:hAnsi="Source Sans Pro"/>
                <w:b w:val="false"/>
                <w:bCs w:val="false"/>
                <w:sz w:val="18"/>
                <w:szCs w:val="18"/>
              </w:rPr>
              <w:t xml:space="preserve">3.160</w:t>
            </w:r>
          </w:p>
        </w:tc>
      </w:tr>
    </w:tbl>
    <w:p>
      <w:pPr>
        <w:spacing w:after="120"/>
      </w:pPr>
    </w:p>
    <w:p>
      <w:pPr>
        <w:spacing w:after="120"/>
        <w:jc w:val="both"/>
      </w:pPr>
      <w:r>
        <w:rPr>
          <w:rFonts w:ascii="Source Sans Pro" w:cs="Source Sans Pro" w:eastAsia="Source Sans Pro" w:hAnsi="Source Sans Pro"/>
          <w:sz w:val="20"/>
          <w:szCs w:val="20"/>
        </w:rPr>
        <w:t xml:space="preserve">El escenario equivale a dos dedicaciones anuales con una capacidad efectiva de 1.600 horas por profesional, a validar por Recursos Humanos. Implantación: primer mes, designar responsables, comprobar cobertura y delimitar el parque conectado; meses segundo y tercero, conciliar inventarios, validar alertas prioritarias y probar el procedimiento de cambios; meses cuarto a sexto, ampliar cobertura y presentar la evaluación de carga y resultados. Se informará mensualmente de cobertura, equipos con responsable y versión verificados, sistemas críticos pendientes, tiempo entre alerta y valoración, actuaciones cerradas y horas por actividad.</w:t>
      </w:r>
    </w:p>
    <w:p>
      <w:pPr>
        <w:keepNext/>
        <w:spacing w:after="80" w:before="240"/>
      </w:pPr>
      <w:r>
        <w:rPr>
          <w:rFonts w:ascii="Source Sans Pro" w:cs="Source Sans Pro" w:eastAsia="Source Sans Pro" w:hAnsi="Source Sans Pro"/>
          <w:b/>
          <w:bCs/>
          <w:color w:val="007A3D"/>
          <w:sz w:val="22"/>
          <w:szCs w:val="22"/>
        </w:rPr>
        <w:t xml:space="preserve">1.4. Estimación de impacto económico</w:t>
      </w:r>
    </w:p>
    <w:p>
      <w:pPr>
        <w:keepNext/>
        <w:spacing w:after="80" w:before="240"/>
      </w:pPr>
      <w:r>
        <w:rPr>
          <w:rFonts w:ascii="Source Sans Pro" w:cs="Source Sans Pro" w:eastAsia="Source Sans Pro" w:hAnsi="Source Sans Pro"/>
          <w:b/>
          <w:bCs/>
          <w:color w:val="007A3D"/>
          <w:sz w:val="22"/>
          <w:szCs w:val="22"/>
        </w:rPr>
        <w:t xml:space="preserve">1.4.1. Estimación de impacto compra/arrendamiento</w:t>
      </w:r>
    </w:p>
    <w:p>
      <w:pPr>
        <w:spacing w:after="120"/>
        <w:jc w:val="both"/>
      </w:pPr>
      <w:r>
        <w:rPr>
          <w:rFonts w:ascii="Source Sans Pro" w:cs="Source Sans Pro" w:eastAsia="Source Sans Pro" w:hAnsi="Source Sans Pro"/>
          <w:sz w:val="20"/>
          <w:szCs w:val="20"/>
        </w:rPr>
        <w:t xml:space="preserve">La necesidad consiste en consolidar o ampliar la capacidad de monitorización de los más de 1.000 equipos conectados. Antes de contratar se verificará qué licencias, sensores, módulos e integraciones ya están disponibles. La valoración desglosará implantación, cobertura, licencia o suscripción, soporte, conservación de evidencias, formación e integración, con coste total a tres años diferenciando gasto inicial y recurrente. No se fija importe porque no se dispone de oferta económica para este alcance.</w:t>
      </w:r>
    </w:p>
    <w:p>
      <w:pPr>
        <w:keepNext/>
        <w:spacing w:after="80" w:before="240"/>
      </w:pPr>
      <w:r>
        <w:rPr>
          <w:rFonts w:ascii="Source Sans Pro" w:cs="Source Sans Pro" w:eastAsia="Source Sans Pro" w:hAnsi="Source Sans Pro"/>
          <w:b/>
          <w:bCs/>
          <w:color w:val="007A3D"/>
          <w:sz w:val="22"/>
          <w:szCs w:val="22"/>
        </w:rPr>
        <w:t xml:space="preserve">1.4.2. Estimación de impacto capítulo I y II</w:t>
      </w:r>
    </w:p>
    <w:p>
      <w:pPr>
        <w:spacing w:after="120"/>
        <w:jc w:val="both"/>
      </w:pPr>
      <w:r>
        <w:rPr>
          <w:rFonts w:ascii="Source Sans Pro" w:cs="Source Sans Pro" w:eastAsia="Source Sans Pro" w:hAnsi="Source Sans Pro"/>
          <w:sz w:val="20"/>
          <w:szCs w:val="20"/>
        </w:rPr>
        <w:t xml:space="preserve">La propuesta incorpora dos dedicaciones específicas (técnico especialista de Electromedicina y técnico informático), cuyo coste anual calcularán Recursos Humanos y Gestión Económica según categoría y modalidad de provisión. La reasignación de personal existente tiene coste de oportunidad y requiere cobertura de las funciones que se dejan de realizar. No se atribuyen ahorros ni reducciones de incidentes sin medición local.</w:t>
      </w:r>
    </w:p>
    <w:p>
      <w:pPr>
        <w:keepNext/>
        <w:spacing w:after="80" w:before="240"/>
      </w:pPr>
      <w:r>
        <w:rPr>
          <w:rFonts w:ascii="Source Sans Pro" w:cs="Source Sans Pro" w:eastAsia="Source Sans Pro" w:hAnsi="Source Sans Pro"/>
          <w:b/>
          <w:bCs/>
          <w:color w:val="007A3D"/>
          <w:sz w:val="22"/>
          <w:szCs w:val="22"/>
        </w:rPr>
        <w:t xml:space="preserve">1.5. Requisitos de funcionamiento y coordinación</w:t>
      </w:r>
    </w:p>
    <w:p>
      <w:pPr>
        <w:spacing w:after="120"/>
        <w:jc w:val="both"/>
      </w:pPr>
      <w:r>
        <w:rPr>
          <w:rFonts w:ascii="Source Sans Pro" w:cs="Source Sans Pro" w:eastAsia="Source Sans Pro" w:hAnsi="Source Sans Pro"/>
          <w:sz w:val="20"/>
          <w:szCs w:val="20"/>
        </w:rPr>
        <w:t xml:space="preserve">El programa priorizará descubrimiento pasivo, control de acceso por funciones y registro de actuaciones, integración con los servicios TIC y procedimientos de cambio con validación del fabricante, pruebas y reversión. El Esquema Nacional de Seguridad contempla vigilancia continua, inventario de activos y gestión de actualizaciones; no prescribe una marca ni una dotación fija [7].</w:t>
      </w:r>
    </w:p>
    <w:p>
      <w:pPr>
        <w:keepNext/>
        <w:spacing w:after="80" w:before="240"/>
      </w:pPr>
      <w:r>
        <w:rPr>
          <w:rFonts w:ascii="Source Sans Pro" w:cs="Source Sans Pro" w:eastAsia="Source Sans Pro" w:hAnsi="Source Sans Pro"/>
          <w:b/>
          <w:bCs/>
          <w:color w:val="007A3D"/>
          <w:sz w:val="22"/>
          <w:szCs w:val="22"/>
        </w:rPr>
        <w:t xml:space="preserve">2. Conclusión</w:t>
      </w:r>
    </w:p>
    <w:p>
      <w:pPr>
        <w:spacing w:after="120"/>
        <w:jc w:val="both"/>
      </w:pPr>
      <w:r>
        <w:rPr>
          <w:rFonts w:ascii="Source Sans Pro" w:cs="Source Sans Pro" w:eastAsia="Source Sans Pro" w:hAnsi="Source Sans Pro"/>
          <w:sz w:val="20"/>
          <w:szCs w:val="20"/>
        </w:rPr>
        <w:t xml:space="preserve">Según los criterios de este informe se propone consolidar un programa permanente de monitorización proactiva del equipamiento electromédico conectado del HRUM, orientado inicialmente a los más de 1.000 equipos conectados, y se solicita a Dirección autorizar la valoración del alcance técnico, el uso coordinado de la plataforma corporativa y la asignación de un técnico especialista de Electromedicina y un técnico informático a jornada completa, con revisión a los seis meses.</w:t>
      </w:r>
    </w:p>
    <w:p>
      <w:pPr>
        <w:keepNext/>
        <w:spacing w:after="120"/>
        <w:jc w:val="both"/>
      </w:pPr>
      <w:r>
        <w:rPr>
          <w:rFonts w:ascii="Source Sans Pro" w:cs="Source Sans Pro" w:eastAsia="Source Sans Pro" w:hAnsi="Source Sans Pro"/>
          <w:sz w:val="20"/>
          <w:szCs w:val="20"/>
        </w:rPr>
        <w:t xml:space="preserve">Se presentará un informe de seguimiento a los tres meses y una evaluación de resultados, cobertura y dimensionamiento a los seis meses.</w:t>
      </w:r>
    </w:p>
    <w:p>
      <w:pPr>
        <w:keepNext/>
        <w:spacing w:after="120"/>
      </w:pPr>
    </w:p>
    <w:p>
      <w:pPr>
        <w:keepNext/>
        <w:spacing w:after="0"/>
      </w:pPr>
      <w:r>
        <w:rPr>
          <w:rFonts w:ascii="Source Sans Pro" w:cs="Source Sans Pro" w:eastAsia="Source Sans Pro" w:hAnsi="Source Sans Pro"/>
          <w:sz w:val="20"/>
          <w:szCs w:val="20"/>
        </w:rPr>
        <w:t xml:space="preserve">Jerónimo López Sanz</w:t>
      </w:r>
    </w:p>
    <w:p>
      <w:pPr>
        <w:keepNext/>
        <w:spacing w:after="0"/>
      </w:pPr>
      <w:r>
        <w:rPr>
          <w:rFonts w:ascii="Source Sans Pro" w:cs="Source Sans Pro" w:eastAsia="Source Sans Pro" w:hAnsi="Source Sans Pro"/>
          <w:sz w:val="20"/>
          <w:szCs w:val="20"/>
        </w:rPr>
        <w:t xml:space="preserve">Jefe del Servicio de Electromedicina</w:t>
      </w:r>
    </w:p>
    <w:p>
      <w:pPr>
        <w:spacing w:after="120"/>
      </w:pPr>
      <w:r>
        <w:rPr>
          <w:rFonts w:ascii="Source Sans Pro" w:cs="Source Sans Pro" w:eastAsia="Source Sans Pro" w:hAnsi="Source Sans Pro"/>
          <w:sz w:val="20"/>
          <w:szCs w:val="20"/>
        </w:rPr>
        <w:t xml:space="preserve">Hospital Regional Universitario de Málaga</w:t>
      </w:r>
    </w:p>
    <w:p>
      <w:pPr>
        <w:keepNext/>
        <w:spacing w:after="80" w:before="240"/>
      </w:pPr>
      <w:r>
        <w:rPr>
          <w:rFonts w:ascii="Source Sans Pro" w:cs="Source Sans Pro" w:eastAsia="Source Sans Pro" w:hAnsi="Source Sans Pro"/>
          <w:b/>
          <w:bCs/>
          <w:color w:val="007A3D"/>
          <w:sz w:val="22"/>
          <w:szCs w:val="22"/>
        </w:rPr>
        <w:t xml:space="preserve">Fuentes</w:t>
      </w:r>
    </w:p>
    <w:p>
      <w:pPr>
        <w:spacing w:after="40"/>
        <w:jc w:val="both"/>
      </w:pPr>
      <w:r>
        <w:rPr>
          <w:rFonts w:ascii="Source Sans Pro" w:cs="Source Sans Pro" w:eastAsia="Source Sans Pro" w:hAnsi="Source Sans Pro"/>
          <w:sz w:val="18"/>
          <w:szCs w:val="18"/>
        </w:rPr>
        <w:t xml:space="preserve">[1] CERT-EU. Security Advisory 2026-018. Critical Vulnerabilities in PHP. 21/10/2026. </w:t>
      </w:r>
      <w:hyperlink w:history="1" r:id="rId0e_vi_ghjyge_6wywi0fr">
        <w:r>
          <w:rPr>
            <w:rFonts w:ascii="Source Sans Pro" w:cs="Source Sans Pro" w:eastAsia="Source Sans Pro" w:hAnsi="Source Sans Pro"/>
            <w:color w:val="0563C1"/>
            <w:sz w:val="18"/>
            <w:szCs w:val="18"/>
            <w:u w:val="single"/>
          </w:rPr>
          <w:t xml:space="preserve">Consultar fuente</w:t>
        </w:r>
      </w:hyperlink>
    </w:p>
    <w:p>
      <w:pPr>
        <w:spacing w:after="40"/>
        <w:jc w:val="both"/>
      </w:pPr>
      <w:r>
        <w:rPr>
          <w:rFonts w:ascii="Source Sans Pro" w:cs="Source Sans Pro" w:eastAsia="Source Sans Pro" w:hAnsi="Source Sans Pro"/>
          <w:sz w:val="18"/>
          <w:szCs w:val="18"/>
        </w:rPr>
        <w:t xml:space="preserve">[2] FDA. Cybersecurity Vulnerabilities with Certain Patient Monitors from Contec and Epsimed. 30/01/2025; act. 02/07/2025. </w:t>
      </w:r>
      <w:hyperlink w:history="1" r:id="rIdn3ictmls1g9wa5izttqhr">
        <w:r>
          <w:rPr>
            <w:rFonts w:ascii="Source Sans Pro" w:cs="Source Sans Pro" w:eastAsia="Source Sans Pro" w:hAnsi="Source Sans Pro"/>
            <w:color w:val="0563C1"/>
            <w:sz w:val="18"/>
            <w:szCs w:val="18"/>
            <w:u w:val="single"/>
          </w:rPr>
          <w:t xml:space="preserve">Consultar fuente</w:t>
        </w:r>
      </w:hyperlink>
    </w:p>
    <w:p>
      <w:pPr>
        <w:spacing w:after="40"/>
        <w:jc w:val="both"/>
      </w:pPr>
      <w:r>
        <w:rPr>
          <w:rFonts w:ascii="Source Sans Pro" w:cs="Source Sans Pro" w:eastAsia="Source Sans Pro" w:hAnsi="Source Sans Pro"/>
          <w:sz w:val="18"/>
          <w:szCs w:val="18"/>
        </w:rPr>
        <w:t xml:space="preserve">[3] Philips. Security Advisory Archives 2025. JQuery Advisory CVE-2020-11023. Febrero 2025. </w:t>
      </w:r>
      <w:hyperlink w:history="1" r:id="rIddjsd0een_ksfig-8iglxi">
        <w:r>
          <w:rPr>
            <w:rFonts w:ascii="Source Sans Pro" w:cs="Source Sans Pro" w:eastAsia="Source Sans Pro" w:hAnsi="Source Sans Pro"/>
            <w:color w:val="0563C1"/>
            <w:sz w:val="18"/>
            <w:szCs w:val="18"/>
            <w:u w:val="single"/>
          </w:rPr>
          <w:t xml:space="preserve">Consultar fuente</w:t>
        </w:r>
      </w:hyperlink>
    </w:p>
    <w:p>
      <w:pPr>
        <w:spacing w:after="40"/>
        <w:jc w:val="both"/>
      </w:pPr>
      <w:r>
        <w:rPr>
          <w:rFonts w:ascii="Source Sans Pro" w:cs="Source Sans Pro" w:eastAsia="Source Sans Pro" w:hAnsi="Source Sans Pro"/>
          <w:sz w:val="18"/>
          <w:szCs w:val="18"/>
        </w:rPr>
        <w:t xml:space="preserve">[4] Portsmouth Hospitals University NHS Trust. Synnovis Cyber Incident. </w:t>
      </w:r>
      <w:hyperlink w:history="1" r:id="rIderthoswpsj3ozixrslmu4">
        <w:r>
          <w:rPr>
            <w:rFonts w:ascii="Source Sans Pro" w:cs="Source Sans Pro" w:eastAsia="Source Sans Pro" w:hAnsi="Source Sans Pro"/>
            <w:color w:val="0563C1"/>
            <w:sz w:val="18"/>
            <w:szCs w:val="18"/>
            <w:u w:val="single"/>
          </w:rPr>
          <w:t xml:space="preserve">Consultar fuente</w:t>
        </w:r>
      </w:hyperlink>
    </w:p>
    <w:p>
      <w:pPr>
        <w:spacing w:after="40"/>
        <w:jc w:val="both"/>
      </w:pPr>
      <w:r>
        <w:rPr>
          <w:rFonts w:ascii="Source Sans Pro" w:cs="Source Sans Pro" w:eastAsia="Source Sans Pro" w:hAnsi="Source Sans Pro"/>
          <w:sz w:val="18"/>
          <w:szCs w:val="18"/>
        </w:rPr>
        <w:t xml:space="preserve">[5] Evidencia interna HRUM. Capturas de la sesión de Claroty xDome del 22/10/2026. </w:t>
      </w:r>
    </w:p>
    <w:p>
      <w:pPr>
        <w:spacing w:after="40"/>
        <w:jc w:val="both"/>
      </w:pPr>
      <w:r>
        <w:rPr>
          <w:rFonts w:ascii="Source Sans Pro" w:cs="Source Sans Pro" w:eastAsia="Source Sans Pro" w:hAnsi="Source Sans Pro"/>
          <w:sz w:val="18"/>
          <w:szCs w:val="18"/>
        </w:rPr>
        <w:t xml:space="preserve">[6] Claroty. xDome for Healthcare Environments. </w:t>
      </w:r>
      <w:hyperlink w:history="1" r:id="rIdqg35ghkdissvniyofjfi7">
        <w:r>
          <w:rPr>
            <w:rFonts w:ascii="Source Sans Pro" w:cs="Source Sans Pro" w:eastAsia="Source Sans Pro" w:hAnsi="Source Sans Pro"/>
            <w:color w:val="0563C1"/>
            <w:sz w:val="18"/>
            <w:szCs w:val="18"/>
            <w:u w:val="single"/>
          </w:rPr>
          <w:t xml:space="preserve">Consultar fuente</w:t>
        </w:r>
      </w:hyperlink>
    </w:p>
    <w:p>
      <w:pPr>
        <w:spacing w:after="40"/>
        <w:jc w:val="both"/>
      </w:pPr>
      <w:r>
        <w:rPr>
          <w:rFonts w:ascii="Source Sans Pro" w:cs="Source Sans Pro" w:eastAsia="Source Sans Pro" w:hAnsi="Source Sans Pro"/>
          <w:sz w:val="18"/>
          <w:szCs w:val="18"/>
        </w:rPr>
        <w:t xml:space="preserve">[7] BOE. Real Decreto 311/2022, de 3 de mayo, Esquema Nacional de Seguridad. Art. 10 y anexo II (op.exp.1, op.exp.4). </w:t>
      </w:r>
      <w:hyperlink w:history="1" r:id="rIdfaxgojqqzgjqw_csmvf02">
        <w:r>
          <w:rPr>
            <w:rFonts w:ascii="Source Sans Pro" w:cs="Source Sans Pro" w:eastAsia="Source Sans Pro" w:hAnsi="Source Sans Pro"/>
            <w:color w:val="0563C1"/>
            <w:sz w:val="18"/>
            <w:szCs w:val="18"/>
            <w:u w:val="single"/>
          </w:rPr>
          <w:t xml:space="preserve">Consultar fuente</w:t>
        </w:r>
      </w:hyperlink>
    </w:p>
    <w:sectPr>
      <w:pgSz w:w="11906" w:h="16838" w:orient="portrait"/>
      <w:pgMar w:top="720" w:right="1701" w:bottom="850" w:left="1701"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ource Sans Pro" w:cs="Source Sans Pro" w:eastAsia="Source Sans Pro" w:hAnsi="Source Sans Pro"/>
        <w:sz w:val="20"/>
        <w:szCs w:val="20"/>
        <w:lang w:val="es-ES"/>
      </w:rPr>
    </w:rPrDefault>
    <w:pPrDefault>
      <w:pPr>
        <w:spacing w:after="20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0e_vi_ghjyge_6wywi0fr" Type="http://schemas.openxmlformats.org/officeDocument/2006/relationships/hyperlink" Target="https://cert.europa.eu/publications/security-advisories/2026-018" TargetMode="External"/><Relationship Id="rIdn3ictmls1g9wa5izttqhr" Type="http://schemas.openxmlformats.org/officeDocument/2006/relationships/hyperlink" Target="https://www.fda.gov/medical-devices/safety-communications/cybersecurity-vulnerabilities-certain-patient-monitors-contec-and-epsimed-fda-safety-communication" TargetMode="External"/><Relationship Id="rIddjsd0een_ksfig-8iglxi" Type="http://schemas.openxmlformats.org/officeDocument/2006/relationships/hyperlink" Target="https://www.philips.com/a-w/security/security-advisories/product-security-2025.html" TargetMode="External"/><Relationship Id="rIderthoswpsj3ozixrslmu4" Type="http://schemas.openxmlformats.org/officeDocument/2006/relationships/hyperlink" Target="https://www.porthosp.nhs.uk/departments-and-services/pathology/synnovis-cyber-incident" TargetMode="External"/><Relationship Id="rIdqg35ghkdissvniyofjfi7" Type="http://schemas.openxmlformats.org/officeDocument/2006/relationships/hyperlink" Target="https://es.claroty.com/healthcare-cybersecurity/xdome-for-healthcare" TargetMode="External"/><Relationship Id="rIdfaxgojqqzgjqw_csmvf02" Type="http://schemas.openxmlformats.org/officeDocument/2006/relationships/hyperlink" Target="https://www.boe.es/eli/es/rd/2022/05/03/311/con" TargetMode="External"/><Relationship Id="rId7" Type="http://schemas.openxmlformats.org/officeDocument/2006/relationships/image" Target="media/afc1cf6783936e132dc65f38288ab9d959a3f3c5.png"/><Relationship Id="rId8" Type="http://schemas.openxmlformats.org/officeDocument/2006/relationships/image" Target="media/5f450e62e944272aff93188922fa1b4cc842ee1e.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justificativa de la necesidad de monitorización de ciberseguridad del equipamiento electromédico</dc:title>
  <dc:creator>Servicio de Electromedicina · HRUM</dc:creator>
  <cp:lastModifiedBy>Un-named</cp:lastModifiedBy>
  <cp:revision>1</cp:revision>
  <dcterms:created xsi:type="dcterms:W3CDTF">2026-10-22T17:31:55.976Z</dcterms:created>
  <dcterms:modified xsi:type="dcterms:W3CDTF">2026-10-22T17:31:55.983Z</dcterms:modified>
</cp:coreProperties>
</file>

<file path=docProps/custom.xml><?xml version="1.0" encoding="utf-8"?>
<Properties xmlns="http://schemas.openxmlformats.org/officeDocument/2006/custom-properties" xmlns:vt="http://schemas.openxmlformats.org/officeDocument/2006/docPropsVTypes"/>
</file>