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C32A24" w14:paraId="402E0075" w14:textId="77777777">
        <w:trPr>
          <w:jc w:val="center"/>
        </w:trPr>
        <w:tc>
          <w:tcPr>
            <w:tcW w:w="10656" w:type="dxa"/>
            <w:shd w:val="clear" w:color="auto" w:fill="0F294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008653" w14:textId="77777777" w:rsidR="00C32A24" w:rsidRDefault="004213D9">
            <w:pPr>
              <w:spacing w:after="40"/>
            </w:pPr>
            <w:r>
              <w:rPr>
                <w:rFonts w:ascii="Calibri" w:hAnsi="Calibri"/>
                <w:b/>
                <w:color w:val="38BDF8"/>
                <w:sz w:val="15"/>
              </w:rPr>
              <w:t>EXECUTIVE BRIEFING  |  CATEGORY: CONVERSATIONAL DECISION INTELLIGENCE</w:t>
            </w:r>
            <w:r>
              <w:rPr>
                <w:rFonts w:ascii="Calibri" w:hAnsi="Calibri"/>
                <w:b/>
                <w:color w:val="38BDF8"/>
                <w:sz w:val="15"/>
              </w:rPr>
              <w:br/>
            </w:r>
            <w:r>
              <w:rPr>
                <w:rFonts w:ascii="Calibri" w:hAnsi="Calibri"/>
                <w:b/>
                <w:color w:val="FFFFFF"/>
                <w:sz w:val="30"/>
              </w:rPr>
              <w:t>VDec BI: Architecture, Core Concepts &amp; Business Value</w:t>
            </w:r>
            <w:r>
              <w:rPr>
                <w:rFonts w:ascii="Calibri" w:hAnsi="Calibri"/>
                <w:b/>
                <w:color w:val="FFFFFF"/>
                <w:sz w:val="30"/>
              </w:rPr>
              <w:br/>
            </w:r>
            <w:r>
              <w:rPr>
                <w:rFonts w:ascii="Calibri" w:hAnsi="Calibri"/>
                <w:color w:val="E2E8F0"/>
                <w:sz w:val="17"/>
              </w:rPr>
              <w:t>Moving Beyond Static Dashboards &amp; AI Hallucinations: Delivering Verified Decisions for Retail &amp; Trading</w:t>
            </w:r>
          </w:p>
        </w:tc>
      </w:tr>
    </w:tbl>
    <w:p w14:paraId="3FD46E55" w14:textId="77777777" w:rsidR="00C32A24" w:rsidRDefault="00C32A24">
      <w:pPr>
        <w:spacing w:before="80" w:after="40" w:line="120" w:lineRule="auto"/>
      </w:pPr>
    </w:p>
    <w:p w14:paraId="539986F3" w14:textId="77777777" w:rsidR="00C32A24" w:rsidRDefault="004213D9">
      <w:pPr>
        <w:spacing w:before="80" w:after="40"/>
      </w:pPr>
      <w:r>
        <w:rPr>
          <w:rFonts w:ascii="Calibri" w:hAnsi="Calibri"/>
          <w:b/>
          <w:color w:val="0F2942"/>
        </w:rPr>
        <w:t>1. The Decision Paradigm: The "Third Way" for Business Leaders</w:t>
      </w:r>
    </w:p>
    <w:p w14:paraId="43DAEA79" w14:textId="77777777" w:rsidR="00C32A24" w:rsidRDefault="004213D9">
      <w:pPr>
        <w:spacing w:after="80" w:line="264" w:lineRule="auto"/>
      </w:pPr>
      <w:r>
        <w:rPr>
          <w:rFonts w:ascii="Calibri" w:hAnsi="Calibri"/>
          <w:color w:val="334155"/>
          <w:sz w:val="17"/>
        </w:rPr>
        <w:t>Operating leaders in retail and trading are historically trapped between two flawed decision modes: (1) Gut feeling—fast, but prone to missing silent margin leaks, dead stock, and slipping customer cohorts; or (2) Static BI dashboards &amp; ERP reports—expensive and data-heavy, but passive. Traditional dashboards show what happened, but fail to explain why or prescribe what to do, forcing managers into hours of Monday morning spreadsheet detective work.</w:t>
      </w:r>
      <w:r>
        <w:rPr>
          <w:rFonts w:ascii="Calibri" w:hAnsi="Calibri"/>
          <w:color w:val="334155"/>
          <w:sz w:val="17"/>
        </w:rPr>
        <w:br/>
      </w:r>
      <w:r>
        <w:rPr>
          <w:rFonts w:ascii="Calibri" w:hAnsi="Calibri"/>
          <w:color w:val="334155"/>
          <w:sz w:val="17"/>
        </w:rPr>
        <w:t>VDec BI (Verified Decisions) introduces a third way: an intelligent conversational decision partner that combines the conversational agility of AI with the mathematical rigor of an audited financial accounting engine.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C32A24" w14:paraId="1C283B8E" w14:textId="77777777">
        <w:trPr>
          <w:jc w:val="center"/>
        </w:trPr>
        <w:tc>
          <w:tcPr>
            <w:tcW w:w="3552" w:type="dxa"/>
            <w:tcBorders>
              <w:top w:val="single" w:sz="12" w:space="0" w:color="2563EB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207C3" w14:textId="77777777" w:rsidR="00C32A24" w:rsidRDefault="004213D9">
            <w:pPr>
              <w:spacing w:after="40" w:line="252" w:lineRule="auto"/>
            </w:pPr>
            <w:r>
              <w:rPr>
                <w:rFonts w:ascii="Calibri" w:hAnsi="Calibri"/>
                <w:b/>
                <w:color w:val="0F2942"/>
                <w:sz w:val="16"/>
              </w:rPr>
              <w:t>1. THE FACT (What Happened)</w:t>
            </w:r>
            <w:r>
              <w:rPr>
                <w:rFonts w:ascii="Calibri" w:hAnsi="Calibri"/>
                <w:b/>
                <w:color w:val="0F2942"/>
                <w:sz w:val="16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Audited math calculated in deterministic code—never guessed. Delivers clear, verified revenue, margin, and stock metrics in seconds.</w:t>
            </w:r>
          </w:p>
        </w:tc>
        <w:tc>
          <w:tcPr>
            <w:tcW w:w="3552" w:type="dxa"/>
            <w:tcBorders>
              <w:top w:val="single" w:sz="12" w:space="0" w:color="16A34A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09B96" w14:textId="77777777" w:rsidR="00C32A24" w:rsidRDefault="004213D9">
            <w:pPr>
              <w:spacing w:after="40" w:line="252" w:lineRule="auto"/>
            </w:pPr>
            <w:r>
              <w:rPr>
                <w:rFonts w:ascii="Calibri" w:hAnsi="Calibri"/>
                <w:b/>
                <w:color w:val="0F2942"/>
                <w:sz w:val="16"/>
              </w:rPr>
              <w:t>2. THE LIKELY CAUSE (Why It Happened)</w:t>
            </w:r>
            <w:r>
              <w:rPr>
                <w:rFonts w:ascii="Calibri" w:hAnsi="Calibri"/>
                <w:b/>
                <w:color w:val="0F2942"/>
                <w:sz w:val="16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Automated anomaly detection identifies drivers (e.g., supplier cost inflation vs. aggressive discounting vs. stockout).</w:t>
            </w:r>
          </w:p>
        </w:tc>
        <w:tc>
          <w:tcPr>
            <w:tcW w:w="3552" w:type="dxa"/>
            <w:tcBorders>
              <w:top w:val="single" w:sz="12" w:space="0" w:color="D97706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7181" w14:textId="77777777" w:rsidR="00C32A24" w:rsidRDefault="004213D9">
            <w:pPr>
              <w:spacing w:after="40" w:line="252" w:lineRule="auto"/>
            </w:pPr>
            <w:r>
              <w:rPr>
                <w:rFonts w:ascii="Calibri" w:hAnsi="Calibri"/>
                <w:b/>
                <w:color w:val="0F2942"/>
                <w:sz w:val="16"/>
              </w:rPr>
              <w:t>3. THE NEXT ACTION (What To Do)</w:t>
            </w:r>
            <w:r>
              <w:rPr>
                <w:rFonts w:ascii="Calibri" w:hAnsi="Calibri"/>
                <w:b/>
                <w:color w:val="0F2942"/>
                <w:sz w:val="16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Actionable operational recommendations (e.g., download supplier re-order list, bundle dead inventory before Friday).</w:t>
            </w:r>
          </w:p>
        </w:tc>
      </w:tr>
    </w:tbl>
    <w:p w14:paraId="4E817A52" w14:textId="77777777" w:rsidR="00C32A24" w:rsidRDefault="004213D9">
      <w:pPr>
        <w:spacing w:before="120" w:after="40"/>
      </w:pPr>
      <w:r>
        <w:rPr>
          <w:rFonts w:ascii="Calibri" w:hAnsi="Calibri"/>
          <w:b/>
          <w:color w:val="0F2942"/>
        </w:rPr>
        <w:t>2. The Three Strategic Goals of VDec BI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488"/>
      </w:tblGrid>
      <w:tr w:rsidR="00C32A24" w14:paraId="7070C9E9" w14:textId="77777777">
        <w:trPr>
          <w:jc w:val="center"/>
        </w:trPr>
        <w:tc>
          <w:tcPr>
            <w:tcW w:w="3168" w:type="dxa"/>
            <w:tcBorders>
              <w:bottom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7D6B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1D63B8"/>
                <w:sz w:val="17"/>
              </w:rPr>
              <w:t>Goal 1: Effective Decision-Making</w:t>
            </w:r>
          </w:p>
        </w:tc>
        <w:tc>
          <w:tcPr>
            <w:tcW w:w="7488" w:type="dxa"/>
            <w:tcBorders>
              <w:bottom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65B5" w14:textId="77777777" w:rsidR="00C32A24" w:rsidRDefault="004213D9">
            <w:pPr>
              <w:spacing w:after="0" w:line="259" w:lineRule="auto"/>
            </w:pPr>
            <w:r>
              <w:rPr>
                <w:rFonts w:ascii="Calibri" w:hAnsi="Calibri"/>
                <w:color w:val="334155"/>
                <w:sz w:val="16"/>
              </w:rPr>
              <w:t>Enables executives and store operators to transition from data discovery to concrete operational action in seconds. Bypasses the cognitive overload of 20+ charts by synthesizing the Fact, Likely Cause, and Next Action into executive summaries.</w:t>
            </w:r>
          </w:p>
        </w:tc>
      </w:tr>
      <w:tr w:rsidR="00C32A24" w14:paraId="19D38F17" w14:textId="77777777">
        <w:trPr>
          <w:jc w:val="center"/>
        </w:trPr>
        <w:tc>
          <w:tcPr>
            <w:tcW w:w="31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E4E9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1D63B8"/>
                <w:sz w:val="17"/>
              </w:rPr>
              <w:t>Goal 2: Fully Automated Analysis</w:t>
            </w:r>
          </w:p>
        </w:tc>
        <w:tc>
          <w:tcPr>
            <w:tcW w:w="748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7C77" w14:textId="77777777" w:rsidR="00C32A24" w:rsidRDefault="004213D9">
            <w:pPr>
              <w:spacing w:after="0" w:line="259" w:lineRule="auto"/>
            </w:pPr>
            <w:r>
              <w:rPr>
                <w:rFonts w:ascii="Calibri" w:hAnsi="Calibri"/>
                <w:color w:val="334155"/>
                <w:sz w:val="16"/>
              </w:rPr>
              <w:t>Automates the end-to-end analytical pipeline—from transaction ingestion and cohort tracking to anomaly diagnosis and Monday 7:00 AM executive PDF briefings—eliminating human manual reporting errors.</w:t>
            </w:r>
          </w:p>
        </w:tc>
      </w:tr>
      <w:tr w:rsidR="00C32A24" w14:paraId="39500BEE" w14:textId="77777777">
        <w:trPr>
          <w:jc w:val="center"/>
        </w:trPr>
        <w:tc>
          <w:tcPr>
            <w:tcW w:w="3168" w:type="dxa"/>
            <w:tcBorders>
              <w:bottom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1F20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1D63B8"/>
                <w:sz w:val="17"/>
              </w:rPr>
              <w:t>Goal 3: Lowering the Barrier for SMEs</w:t>
            </w:r>
          </w:p>
        </w:tc>
        <w:tc>
          <w:tcPr>
            <w:tcW w:w="7488" w:type="dxa"/>
            <w:tcBorders>
              <w:bottom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EA2F" w14:textId="77777777" w:rsidR="00C32A24" w:rsidRDefault="004213D9">
            <w:pPr>
              <w:spacing w:after="0" w:line="259" w:lineRule="auto"/>
            </w:pPr>
            <w:r>
              <w:rPr>
                <w:rFonts w:ascii="Calibri" w:hAnsi="Calibri"/>
                <w:color w:val="334155"/>
                <w:sz w:val="16"/>
              </w:rPr>
              <w:t>Delivers Fortune 500 caliber analytics to mid-sized retailers and wholesalers without requiring dedicated data science teams, six-figure infrastructure, or expensive consulting retainers.</w:t>
            </w:r>
          </w:p>
        </w:tc>
      </w:tr>
    </w:tbl>
    <w:p w14:paraId="4EE670DE" w14:textId="77777777" w:rsidR="00C32A24" w:rsidRDefault="004213D9">
      <w:pPr>
        <w:spacing w:before="120" w:after="40"/>
      </w:pPr>
      <w:r>
        <w:rPr>
          <w:rFonts w:ascii="Calibri" w:hAnsi="Calibri"/>
          <w:b/>
          <w:color w:val="0F2942"/>
        </w:rPr>
        <w:t>3. Overcoming the "Data Purity" Trap: Adaptive Operational Reality</w:t>
      </w:r>
    </w:p>
    <w:p w14:paraId="7984D275" w14:textId="77777777" w:rsidR="00C32A24" w:rsidRDefault="004213D9">
      <w:pPr>
        <w:spacing w:after="80" w:line="264" w:lineRule="auto"/>
      </w:pPr>
      <w:r>
        <w:rPr>
          <w:rFonts w:ascii="Calibri" w:hAnsi="Calibri"/>
          <w:color w:val="334155"/>
          <w:sz w:val="17"/>
        </w:rPr>
        <w:t>A primary reason enterprise BI projects fail in mid-market companies is the consulting dogma that companies must spend 6 months and $50,000 "cleaning and centralizing all data" before extracting value. VDec BI was architected around operational reality, not theoretical data purity:</w:t>
      </w:r>
      <w:r>
        <w:rPr>
          <w:rFonts w:ascii="Calibri" w:hAnsi="Calibri"/>
          <w:color w:val="334155"/>
          <w:sz w:val="17"/>
        </w:rPr>
        <w:br/>
        <w:t>• Start with Current Data: Even with basic cash-register receipts, VDec immediately surfaces peak-hour heatmaps, customer visit velocity, and automated weekly summaries.</w:t>
      </w:r>
      <w:r>
        <w:rPr>
          <w:rFonts w:ascii="Calibri" w:hAnsi="Calibri"/>
          <w:color w:val="334155"/>
          <w:sz w:val="17"/>
        </w:rPr>
        <w:br/>
      </w:r>
      <w:r>
        <w:rPr>
          <w:rFonts w:ascii="Calibri" w:hAnsi="Calibri"/>
          <w:color w:val="334155"/>
          <w:sz w:val="17"/>
        </w:rPr>
        <w:t>• Graceful Degradation: The engine automatically inspects available schema fields. If supplier costs are not yet captured, it hides gross margin tiles with a clear prompt ("Add product costs to unlock margin diagnosis") rather than presenting broken charts or false 0% margins.</w:t>
      </w:r>
      <w:r>
        <w:rPr>
          <w:rFonts w:ascii="Calibri" w:hAnsi="Calibri"/>
          <w:color w:val="334155"/>
          <w:sz w:val="17"/>
        </w:rPr>
        <w:br/>
        <w:t>• Progressive Unlocking: As the company connects inventory logs or ERP feeds, advanced diagnostic cohorts unlock automatically—requiring zero custom engineering or consulting overhead.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C32A24" w14:paraId="2063E24D" w14:textId="77777777">
        <w:trPr>
          <w:jc w:val="center"/>
        </w:trPr>
        <w:tc>
          <w:tcPr>
            <w:tcW w:w="10656" w:type="dxa"/>
            <w:tcBorders>
              <w:top w:val="none" w:sz="4" w:space="0" w:color="auto"/>
              <w:left w:val="single" w:sz="24" w:space="0" w:color="0F2942"/>
              <w:bottom w:val="none" w:sz="4" w:space="0" w:color="auto"/>
              <w:right w:val="none" w:sz="4" w:space="0" w:color="auto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78ABC3A" w14:textId="77777777" w:rsidR="00C32A24" w:rsidRDefault="004213D9">
            <w:pPr>
              <w:spacing w:after="40" w:line="264" w:lineRule="auto"/>
            </w:pPr>
            <w:r>
              <w:rPr>
                <w:rFonts w:ascii="Calibri" w:hAnsi="Calibri"/>
                <w:b/>
                <w:color w:val="0F2942"/>
                <w:sz w:val="19"/>
              </w:rPr>
              <w:t>Systems That Explain vs. Systems That Record</w:t>
            </w:r>
            <w:r>
              <w:rPr>
                <w:rFonts w:ascii="Calibri" w:hAnsi="Calibri"/>
                <w:b/>
                <w:color w:val="0F2942"/>
                <w:sz w:val="19"/>
              </w:rPr>
              <w:br/>
            </w:r>
            <w:r>
              <w:rPr>
                <w:rFonts w:ascii="Calibri" w:hAnsi="Calibri"/>
                <w:color w:val="334155"/>
                <w:sz w:val="17"/>
              </w:rPr>
              <w:t>ERPs and POS terminals record transactions with precision (e.g., 'Item A sold for $25 at 2:15 PM'). But they cannot explain why margin dropped, which high-value customer cohorts are slipping, or what dead stock is freezing capital. VDec BI layers on top of existing systems to convert transactional records into verified decisions.</w:t>
            </w:r>
          </w:p>
        </w:tc>
      </w:tr>
    </w:tbl>
    <w:p w14:paraId="32ED66BC" w14:textId="77777777" w:rsidR="00C32A24" w:rsidRDefault="004213D9">
      <w:r>
        <w:br w:type="page"/>
      </w:r>
    </w:p>
    <w:p w14:paraId="588B0E11" w14:textId="77777777" w:rsidR="00C32A24" w:rsidRDefault="004213D9">
      <w:pPr>
        <w:spacing w:after="40"/>
      </w:pPr>
      <w:r>
        <w:rPr>
          <w:rFonts w:ascii="Calibri" w:hAnsi="Calibri"/>
          <w:b/>
          <w:color w:val="0F2942"/>
        </w:rPr>
        <w:lastRenderedPageBreak/>
        <w:t>4. Grounded Architecture: "Strict Math First, AI Storytelling Second"</w:t>
      </w:r>
    </w:p>
    <w:p w14:paraId="69A77EDC" w14:textId="77777777" w:rsidR="00C32A24" w:rsidRDefault="004213D9">
      <w:pPr>
        <w:spacing w:after="80" w:line="264" w:lineRule="auto"/>
      </w:pPr>
      <w:r>
        <w:rPr>
          <w:rFonts w:ascii="Calibri" w:hAnsi="Calibri"/>
          <w:color w:val="334155"/>
          <w:sz w:val="17"/>
        </w:rPr>
        <w:t>Generic 'chat-with-your-data' tools fail in corporate environments because LLMs hallucinate calculations and generate unverified SQL on the fly. VDec BI operates on a fundamental engineering rule: The AI is never allowed to do arithmetic.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608"/>
        <w:gridCol w:w="3456"/>
      </w:tblGrid>
      <w:tr w:rsidR="00C32A24" w14:paraId="235621FD" w14:textId="77777777">
        <w:trPr>
          <w:jc w:val="center"/>
        </w:trPr>
        <w:tc>
          <w:tcPr>
            <w:tcW w:w="2592" w:type="dxa"/>
            <w:shd w:val="clear" w:color="auto" w:fill="0F2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AB236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Pipeline Layer</w:t>
            </w:r>
          </w:p>
        </w:tc>
        <w:tc>
          <w:tcPr>
            <w:tcW w:w="4608" w:type="dxa"/>
            <w:shd w:val="clear" w:color="auto" w:fill="0F2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397DB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Technical Architecture &amp; Function</w:t>
            </w:r>
          </w:p>
        </w:tc>
        <w:tc>
          <w:tcPr>
            <w:tcW w:w="3456" w:type="dxa"/>
            <w:shd w:val="clear" w:color="auto" w:fill="0F2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5AF63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Core Safety / Reliability Benefit</w:t>
            </w:r>
          </w:p>
        </w:tc>
      </w:tr>
      <w:tr w:rsidR="00C32A24" w14:paraId="68313F68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A327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0F2942"/>
                <w:sz w:val="15"/>
              </w:rPr>
              <w:t>Layer 1: Metric Intent Matching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9EA81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User plain-language question is mapped to pre-defined, tested business metrics. The AI never writes raw database SQL.</w:t>
            </w:r>
          </w:p>
        </w:tc>
        <w:tc>
          <w:tcPr>
            <w:tcW w:w="3456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640CF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166534"/>
                <w:sz w:val="15"/>
              </w:rPr>
              <w:t>Eliminates syntax errors and improper table joins.</w:t>
            </w:r>
          </w:p>
        </w:tc>
      </w:tr>
      <w:tr w:rsidR="00C32A24" w14:paraId="7CE36B78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A5C83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0F2942"/>
                <w:sz w:val="15"/>
              </w:rPr>
              <w:t>Layer 2: Deterministic Calculation Engine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BDE5C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Audited Python/SQL code computes all financial, cohort, and inventory metrics deterministically.</w:t>
            </w:r>
          </w:p>
        </w:tc>
        <w:tc>
          <w:tcPr>
            <w:tcW w:w="3456" w:type="dxa"/>
            <w:tcBorders>
              <w:bottom w:val="single" w:sz="4" w:space="0" w:color="E2E8F0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E6848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166534"/>
                <w:sz w:val="15"/>
              </w:rPr>
              <w:t>100% mathematical auditability; numbers match ledger balance.</w:t>
            </w:r>
          </w:p>
        </w:tc>
      </w:tr>
      <w:tr w:rsidR="00C32A24" w14:paraId="3DB39931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EC837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0F2942"/>
                <w:sz w:val="15"/>
              </w:rPr>
              <w:t>Layer 3: Anomaly &amp; Outlier Guard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3B5EE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Automated statistical algorithms flag one-off wholesale spikes, return distortions, or holiday outliers.</w:t>
            </w:r>
          </w:p>
        </w:tc>
        <w:tc>
          <w:tcPr>
            <w:tcW w:w="3456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73E08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166534"/>
                <w:sz w:val="15"/>
              </w:rPr>
              <w:t>Prevents distorted daily averages and false margin alarms.</w:t>
            </w:r>
          </w:p>
        </w:tc>
      </w:tr>
      <w:tr w:rsidR="00C32A24" w14:paraId="19624F5E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8AFF0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0F2942"/>
                <w:sz w:val="15"/>
              </w:rPr>
              <w:t>Layer 4: Executive Communicator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25A70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Generative AI takes the verified fact sheet and drafts concise business narratives (Fact, Likely Cause, Next Action).</w:t>
            </w:r>
          </w:p>
        </w:tc>
        <w:tc>
          <w:tcPr>
            <w:tcW w:w="3456" w:type="dxa"/>
            <w:tcBorders>
              <w:bottom w:val="single" w:sz="4" w:space="0" w:color="E2E8F0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442C4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166534"/>
                <w:sz w:val="15"/>
              </w:rPr>
              <w:t>Transforms dry tables into fluent, multilingual executive synthesis.</w:t>
            </w:r>
          </w:p>
        </w:tc>
      </w:tr>
      <w:tr w:rsidR="00C32A24" w14:paraId="146A4908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B8DC8" w14:textId="77777777" w:rsidR="00C32A24" w:rsidRDefault="004213D9">
            <w:pPr>
              <w:spacing w:after="0"/>
            </w:pPr>
            <w:r>
              <w:rPr>
                <w:rFonts w:ascii="Calibri" w:hAnsi="Calibri"/>
                <w:b/>
                <w:color w:val="0F2942"/>
                <w:sz w:val="15"/>
              </w:rPr>
              <w:t>Layer 5: Programmatic Number Guard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B1A2E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Automated gatekeeper verifies every single number in the narrative against the fact sheet before display.</w:t>
            </w:r>
          </w:p>
        </w:tc>
        <w:tc>
          <w:tcPr>
            <w:tcW w:w="3456" w:type="dxa"/>
            <w:tcBorders>
              <w:bottom w:val="single" w:sz="4" w:space="0" w:color="E2E8F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83F8A" w14:textId="77777777" w:rsidR="00C32A24" w:rsidRDefault="004213D9">
            <w:pPr>
              <w:spacing w:after="0" w:line="252" w:lineRule="auto"/>
            </w:pPr>
            <w:r>
              <w:rPr>
                <w:rFonts w:ascii="Calibri" w:hAnsi="Calibri"/>
                <w:color w:val="166534"/>
                <w:sz w:val="15"/>
              </w:rPr>
              <w:t>Guarantees zero numerical hallucinations reaching the user.</w:t>
            </w:r>
          </w:p>
        </w:tc>
      </w:tr>
    </w:tbl>
    <w:p w14:paraId="4C807EB7" w14:textId="77777777" w:rsidR="00C32A24" w:rsidRDefault="004213D9">
      <w:pPr>
        <w:spacing w:before="120" w:after="40"/>
      </w:pPr>
      <w:r>
        <w:rPr>
          <w:rFonts w:ascii="Calibri" w:hAnsi="Calibri"/>
          <w:b/>
          <w:color w:val="0F2942"/>
        </w:rPr>
        <w:t>5. How Businesses Benefit: Tangible Financial &amp; Operational ROI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C32A24" w14:paraId="53B3B569" w14:textId="77777777">
        <w:trPr>
          <w:jc w:val="center"/>
        </w:trPr>
        <w:tc>
          <w:tcPr>
            <w:tcW w:w="5328" w:type="dxa"/>
            <w:tcBorders>
              <w:left w:val="single" w:sz="16" w:space="0" w:color="16A34A"/>
            </w:tcBorders>
            <w:shd w:val="clear" w:color="auto" w:fill="F0FD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A15E8" w14:textId="77777777" w:rsidR="00C32A24" w:rsidRDefault="004213D9">
            <w:pPr>
              <w:spacing w:after="40" w:line="259" w:lineRule="auto"/>
            </w:pPr>
            <w:r>
              <w:rPr>
                <w:rFonts w:ascii="Calibri" w:hAnsi="Calibri"/>
                <w:b/>
                <w:color w:val="0F2942"/>
                <w:sz w:val="16"/>
              </w:rPr>
              <w:t>A. Protecting Working Capital &amp; Margin</w:t>
            </w:r>
            <w:r>
              <w:rPr>
                <w:rFonts w:ascii="Calibri" w:hAnsi="Calibri"/>
                <w:b/>
                <w:color w:val="0F2942"/>
                <w:sz w:val="16"/>
              </w:rPr>
              <w:br/>
            </w:r>
            <w:r>
              <w:rPr>
                <w:rFonts w:ascii="Calibri" w:hAnsi="Calibri"/>
                <w:color w:val="334155"/>
                <w:sz w:val="15"/>
              </w:rPr>
              <w:t>Early detection of dormant inventory and slipping customer cohorts. Teams identify dead stock weeks earlier to bundle or discount before taking total write-offs, while detecting supplier cost inflation before it erodes quarterly margins.</w:t>
            </w:r>
          </w:p>
        </w:tc>
        <w:tc>
          <w:tcPr>
            <w:tcW w:w="5328" w:type="dxa"/>
            <w:tcBorders>
              <w:left w:val="single" w:sz="16" w:space="0" w:color="2563EB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766E8" w14:textId="77777777" w:rsidR="00C32A24" w:rsidRDefault="004213D9">
            <w:pPr>
              <w:spacing w:after="40" w:line="259" w:lineRule="auto"/>
            </w:pPr>
            <w:r>
              <w:rPr>
                <w:rFonts w:ascii="Calibri" w:hAnsi="Calibri"/>
                <w:b/>
                <w:color w:val="0F2942"/>
                <w:sz w:val="16"/>
              </w:rPr>
              <w:t>B. Compressing Stockout Reaction to Hours</w:t>
            </w:r>
            <w:r>
              <w:rPr>
                <w:rFonts w:ascii="Calibri" w:hAnsi="Calibri"/>
                <w:b/>
                <w:color w:val="0F2942"/>
                <w:sz w:val="16"/>
              </w:rPr>
              <w:br/>
            </w:r>
            <w:r>
              <w:rPr>
                <w:rFonts w:ascii="Calibri" w:hAnsi="Calibri"/>
                <w:color w:val="334155"/>
                <w:sz w:val="15"/>
              </w:rPr>
              <w:t>Traditional weekly sales reports catch sudden spikes in velocity days later when shelves are empty. Conversational anomaly alerts flag high-velocity stockouts within hours, preserving immediate cash flow and high-margin sales.</w:t>
            </w:r>
          </w:p>
        </w:tc>
      </w:tr>
      <w:tr w:rsidR="00C32A24" w14:paraId="41ABA959" w14:textId="77777777">
        <w:trPr>
          <w:jc w:val="center"/>
        </w:trPr>
        <w:tc>
          <w:tcPr>
            <w:tcW w:w="5328" w:type="dxa"/>
            <w:tcBorders>
              <w:left w:val="single" w:sz="16" w:space="0" w:color="D97706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362E6" w14:textId="77777777" w:rsidR="00C32A24" w:rsidRDefault="004213D9">
            <w:pPr>
              <w:spacing w:after="40" w:line="259" w:lineRule="auto"/>
            </w:pPr>
            <w:r>
              <w:rPr>
                <w:rFonts w:ascii="Calibri" w:hAnsi="Calibri"/>
                <w:b/>
                <w:color w:val="0F2942"/>
                <w:sz w:val="16"/>
              </w:rPr>
              <w:t>C. Eliminating Weekend Reporting Grunt Work</w:t>
            </w:r>
            <w:r>
              <w:rPr>
                <w:rFonts w:ascii="Calibri" w:hAnsi="Calibri"/>
                <w:b/>
                <w:color w:val="0F2942"/>
                <w:sz w:val="16"/>
              </w:rPr>
              <w:br/>
            </w:r>
            <w:r>
              <w:rPr>
                <w:rFonts w:ascii="Calibri" w:hAnsi="Calibri"/>
                <w:color w:val="334155"/>
                <w:sz w:val="15"/>
              </w:rPr>
              <w:t>Reclaims 4 to 6 hours per week per manager spent manually exporting, cleaning, and formatting Excel sheets. The automated Monday 7:00 AM briefing delivers consultant-grade executive diagnosis without Sunday overtime.</w:t>
            </w:r>
          </w:p>
        </w:tc>
        <w:tc>
          <w:tcPr>
            <w:tcW w:w="5328" w:type="dxa"/>
            <w:tcBorders>
              <w:left w:val="single" w:sz="16" w:space="0" w:color="0F2942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5DEA8" w14:textId="77777777" w:rsidR="00C32A24" w:rsidRDefault="004213D9">
            <w:pPr>
              <w:spacing w:after="40" w:line="259" w:lineRule="auto"/>
            </w:pPr>
            <w:r>
              <w:rPr>
                <w:rFonts w:ascii="Calibri" w:hAnsi="Calibri"/>
                <w:b/>
                <w:color w:val="0F2942"/>
                <w:sz w:val="16"/>
              </w:rPr>
              <w:t>D. Frontline Mobile Empowerment (15s Loop)</w:t>
            </w:r>
            <w:r>
              <w:rPr>
                <w:rFonts w:ascii="Calibri" w:hAnsi="Calibri"/>
                <w:b/>
                <w:color w:val="0F2942"/>
                <w:sz w:val="16"/>
              </w:rPr>
              <w:br/>
            </w:r>
            <w:r>
              <w:rPr>
                <w:rFonts w:ascii="Calibri" w:hAnsi="Calibri"/>
                <w:color w:val="334155"/>
                <w:sz w:val="15"/>
              </w:rPr>
              <w:t>Shop managers ask natural operational questions on mobile in English, Vietnamese, Chinese, or German. Within 15 seconds, they receive visual proof and a 1-click button to download supplier re-order lists to Excel.</w:t>
            </w:r>
          </w:p>
        </w:tc>
      </w:tr>
    </w:tbl>
    <w:p w14:paraId="718C9EC2" w14:textId="77777777" w:rsidR="00C32A24" w:rsidRDefault="004213D9">
      <w:pPr>
        <w:spacing w:before="120" w:after="40"/>
      </w:pPr>
      <w:r>
        <w:rPr>
          <w:rFonts w:ascii="Calibri" w:hAnsi="Calibri"/>
          <w:b/>
          <w:color w:val="0F2942"/>
        </w:rPr>
        <w:t>6. Enterprise Security, Data Governance &amp; 30-Day Pilot Evaluation</w:t>
      </w:r>
    </w:p>
    <w:p w14:paraId="3AB37A1A" w14:textId="77777777" w:rsidR="00C32A24" w:rsidRDefault="004213D9">
      <w:pPr>
        <w:spacing w:after="40" w:line="264" w:lineRule="auto"/>
      </w:pPr>
      <w:r>
        <w:rPr>
          <w:rFonts w:ascii="Calibri" w:hAnsi="Calibri"/>
          <w:color w:val="334155"/>
          <w:sz w:val="16"/>
        </w:rPr>
        <w:t>• Data Sovereignty &amp; Isolation: Customer transaction records remain strictly isolated; proprietary sales figures are never used to train public foundational AI models.</w:t>
      </w:r>
      <w:r>
        <w:rPr>
          <w:rFonts w:ascii="Calibri" w:hAnsi="Calibri"/>
          <w:color w:val="334155"/>
          <w:sz w:val="16"/>
        </w:rPr>
        <w:br/>
      </w:r>
      <w:r>
        <w:rPr>
          <w:rFonts w:ascii="Calibri" w:hAnsi="Calibri"/>
          <w:color w:val="334155"/>
          <w:sz w:val="16"/>
        </w:rPr>
        <w:t>• Complete Traceability: Every figure quoted in executive briefings provides clear click-to-source data lineage, bridging trust between business operators and technical systems.</w:t>
      </w:r>
      <w:r>
        <w:rPr>
          <w:rFonts w:ascii="Calibri" w:hAnsi="Calibri"/>
          <w:color w:val="334155"/>
          <w:sz w:val="16"/>
        </w:rPr>
        <w:br/>
        <w:t>• Pilot Evaluation Framework: VDec BI is evaluated on measurable baseline shifts over 30–90 days: reduction in stockout lag time, reduction in slow-moving capital, and hours reclaimed by operational management.</w:t>
      </w:r>
    </w:p>
    <w:sectPr w:rsidR="00C32A24" w:rsidSect="00034616">
      <w:footerReference w:type="default" r:id="rId8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D9B98" w14:textId="77777777" w:rsidR="004213D9" w:rsidRDefault="004213D9">
      <w:pPr>
        <w:spacing w:after="0" w:line="240" w:lineRule="auto"/>
      </w:pPr>
      <w:r>
        <w:separator/>
      </w:r>
    </w:p>
  </w:endnote>
  <w:endnote w:type="continuationSeparator" w:id="0">
    <w:p w14:paraId="3B6352C4" w14:textId="77777777" w:rsidR="004213D9" w:rsidRDefault="00421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2846" w14:textId="77777777" w:rsidR="00C32A24" w:rsidRDefault="004213D9">
    <w:pPr>
      <w:pStyle w:val="Footer"/>
      <w:jc w:val="right"/>
    </w:pPr>
    <w:r>
      <w:rPr>
        <w:rFonts w:ascii="Calibri" w:hAnsi="Calibri"/>
        <w:color w:val="94A3B8"/>
        <w:sz w:val="15"/>
      </w:rPr>
      <w:t>VDec BI — Verified Decision Intelligence | Executive Whitepaper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17C6" w14:textId="77777777" w:rsidR="004213D9" w:rsidRDefault="004213D9">
      <w:pPr>
        <w:spacing w:after="0" w:line="240" w:lineRule="auto"/>
      </w:pPr>
      <w:r>
        <w:separator/>
      </w:r>
    </w:p>
  </w:footnote>
  <w:footnote w:type="continuationSeparator" w:id="0">
    <w:p w14:paraId="70CA91D2" w14:textId="77777777" w:rsidR="004213D9" w:rsidRDefault="00421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792709">
    <w:abstractNumId w:val="8"/>
  </w:num>
  <w:num w:numId="2" w16cid:durableId="1131702733">
    <w:abstractNumId w:val="6"/>
  </w:num>
  <w:num w:numId="3" w16cid:durableId="383137362">
    <w:abstractNumId w:val="5"/>
  </w:num>
  <w:num w:numId="4" w16cid:durableId="492600555">
    <w:abstractNumId w:val="4"/>
  </w:num>
  <w:num w:numId="5" w16cid:durableId="1102259067">
    <w:abstractNumId w:val="7"/>
  </w:num>
  <w:num w:numId="6" w16cid:durableId="1469281060">
    <w:abstractNumId w:val="3"/>
  </w:num>
  <w:num w:numId="7" w16cid:durableId="1328052628">
    <w:abstractNumId w:val="2"/>
  </w:num>
  <w:num w:numId="8" w16cid:durableId="1204059540">
    <w:abstractNumId w:val="1"/>
  </w:num>
  <w:num w:numId="9" w16cid:durableId="45687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93"/>
    <w:rsid w:val="00034616"/>
    <w:rsid w:val="0006063C"/>
    <w:rsid w:val="0015074B"/>
    <w:rsid w:val="0029639D"/>
    <w:rsid w:val="00326F90"/>
    <w:rsid w:val="004213D9"/>
    <w:rsid w:val="00A44D75"/>
    <w:rsid w:val="00AA1D8D"/>
    <w:rsid w:val="00B47730"/>
    <w:rsid w:val="00C32A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A48905"/>
  <w14:defaultImageDpi w14:val="300"/>
  <w15:docId w15:val="{466AF87B-B72F-46E3-83B4-377768D7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931</Words>
  <Characters>5797</Characters>
  <Application>Microsoft Office Word</Application>
  <DocSecurity>0</DocSecurity>
  <Lines>103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 Jerry ZHOU</cp:lastModifiedBy>
  <cp:revision>2</cp:revision>
  <dcterms:created xsi:type="dcterms:W3CDTF">2013-12-23T23:15:00Z</dcterms:created>
  <dcterms:modified xsi:type="dcterms:W3CDTF">2026-10-07T05:09:00Z</dcterms:modified>
  <cp:category/>
</cp:coreProperties>
</file>