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0"/>
        </w:rPr>
        <w:t>STATEMENT OF WORK (SOW)</w:t>
      </w:r>
    </w:p>
    <w:p>
      <w:pPr>
        <w:spacing w:before="0" w:after="280"/>
      </w:pPr>
      <w:r>
        <w:rPr>
          <w:rFonts w:ascii="Arial" w:hAnsi="Arial"/>
          <w:b/>
          <w:color w:val="334155"/>
          <w:sz w:val="22"/>
        </w:rPr>
        <w:t>Technical Service Agreement &amp; Project Specification</w:t>
        <w:br/>
        <w:t>Project: Veridex BI Dashboard Design, Development &amp; Cloud Deployment</w:t>
      </w:r>
    </w:p>
    <w:p>
      <w:pPr>
        <w:keepNext/>
        <w:spacing w:before="280" w:after="120"/>
      </w:pPr>
      <w:r>
        <w:rPr>
          <w:rFonts w:ascii="Arial" w:hAnsi="Arial"/>
          <w:b/>
          <w:color w:val="1B365D"/>
          <w:sz w:val="26"/>
        </w:rPr>
        <w:t>1. Introduction &amp; Background</w:t>
      </w:r>
    </w:p>
    <w:p>
      <w:pPr>
        <w:spacing w:before="0" w:after="80" w:line="276" w:lineRule="auto"/>
      </w:pPr>
      <w:r>
        <w:rPr>
          <w:rFonts w:ascii="Calibri" w:hAnsi="Calibri"/>
          <w:color w:val="1E293B"/>
          <w:sz w:val="21"/>
        </w:rPr>
        <w:t>This Statement of Work ("SOW") is entered into between Bytepilot Technologies Company Limited (hereinafter referred to as "Bytepilot" or "Contractor") and SwiftYou Supply Chain Management (Shanghai) Co. Ltd (hereinafter referred to as "SwiftYou" or "Client").</w:t>
      </w:r>
    </w:p>
    <w:p>
      <w:pPr>
        <w:spacing w:before="0" w:after="80" w:line="276" w:lineRule="auto"/>
      </w:pPr>
      <w:r>
        <w:rPr>
          <w:rFonts w:ascii="Calibri" w:hAnsi="Calibri"/>
          <w:color w:val="1E293B"/>
          <w:sz w:val="21"/>
        </w:rPr>
        <w:t>Bytepilot shall provide professional software engineering, UI/UX design, system integration, and cloud deployment services to complete the commercial-ready Veridex Business Intelligence (BI) Dashboard. The objective of this engagement is to deliver an end-to-end, multi-tenant dashboard system comprising modern web/mobile responsive frontends, robust application backends, automated report generation and dispatch, and an intuitive "Talk to Data" (Conversational BI) interactive interface.</w:t>
      </w:r>
    </w:p>
    <w:p>
      <w:pPr>
        <w:spacing w:before="0" w:after="80" w:line="276" w:lineRule="auto"/>
      </w:pPr>
      <w:r>
        <w:rPr>
          <w:rFonts w:ascii="Calibri" w:hAnsi="Calibri"/>
          <w:b/>
          <w:color w:val="1E293B"/>
          <w:sz w:val="21"/>
        </w:rPr>
        <w:t>• Project Effective Period:</w:t>
      </w:r>
      <w:r>
        <w:rPr>
          <w:rFonts w:ascii="Calibri" w:hAnsi="Calibri"/>
          <w:color w:val="1E293B"/>
          <w:sz w:val="21"/>
        </w:rPr>
        <w:t xml:space="preserve"> 05.Oct.2026 – 31.Dec.2026 (All development, integration, testing, and production go-live activities must be completed within this period).</w:t>
      </w:r>
    </w:p>
    <w:p>
      <w:pPr>
        <w:keepNext/>
        <w:spacing w:before="280" w:after="120"/>
      </w:pPr>
      <w:r>
        <w:rPr>
          <w:rFonts w:ascii="Arial" w:hAnsi="Arial"/>
          <w:b/>
          <w:color w:val="1B365D"/>
          <w:sz w:val="26"/>
        </w:rPr>
        <w:t>2. Scope of Work (SOW)</w:t>
      </w:r>
    </w:p>
    <w:p>
      <w:pPr>
        <w:spacing w:before="0" w:after="80" w:line="276" w:lineRule="auto"/>
      </w:pPr>
      <w:r>
        <w:rPr>
          <w:rFonts w:ascii="Calibri" w:hAnsi="Calibri"/>
          <w:color w:val="1E293B"/>
          <w:sz w:val="21"/>
        </w:rPr>
        <w:t>Bytepilot shall allocate qualified technical resources (including UI/UX designers, frontend engineers, backend engineers, DevOps specialists, and QA engineers) to execute the following scope:</w:t>
      </w:r>
    </w:p>
    <w:p>
      <w:pPr>
        <w:keepNext/>
        <w:spacing w:before="200" w:after="80"/>
      </w:pPr>
      <w:r>
        <w:rPr>
          <w:rFonts w:ascii="Arial" w:hAnsi="Arial"/>
          <w:b/>
          <w:color w:val="334155"/>
          <w:sz w:val="22"/>
        </w:rPr>
        <w:t>2.1 In-Scope Work</w:t>
      </w:r>
    </w:p>
    <w:p>
      <w:pPr>
        <w:pStyle w:val="ListBullet"/>
        <w:spacing w:before="0" w:after="60" w:line="276" w:lineRule="auto"/>
      </w:pPr>
      <w:r>
        <w:rPr>
          <w:rFonts w:ascii="Calibri" w:hAnsi="Calibri"/>
          <w:b/>
          <w:color w:val="1E293B"/>
          <w:sz w:val="21"/>
        </w:rPr>
        <w:t xml:space="preserve">1. UI/UX Design &amp; Dashboard Frontend Development: </w:t>
      </w:r>
      <w:r>
        <w:rPr>
          <w:rFonts w:ascii="Calibri" w:hAnsi="Calibri"/>
          <w:color w:val="1E293B"/>
          <w:sz w:val="21"/>
        </w:rPr>
        <w:t>Design and build modern, interactive, and responsive web &amp; mobile layouts (executive overview, sales heatmaps, cohort retention, RFM segmentations, KPI cards, trendlines). Implement multi-tenant data visualization, cross-filtering, time-range selectors, dynamic comparisons (YoY/MoM/custom ranges), and multi-language support (English, Chinese, Vietnamese, etc.).</w:t>
      </w:r>
    </w:p>
    <w:p>
      <w:pPr>
        <w:pStyle w:val="ListBullet"/>
        <w:spacing w:before="0" w:after="60" w:line="276" w:lineRule="auto"/>
      </w:pPr>
      <w:r>
        <w:rPr>
          <w:rFonts w:ascii="Calibri" w:hAnsi="Calibri"/>
          <w:b/>
          <w:color w:val="1E293B"/>
          <w:sz w:val="21"/>
        </w:rPr>
        <w:t xml:space="preserve">2. Dashboard Backend &amp; API Architecture: </w:t>
      </w:r>
      <w:r>
        <w:rPr>
          <w:rFonts w:ascii="Calibri" w:hAnsi="Calibri"/>
          <w:color w:val="1E293B"/>
          <w:sz w:val="21"/>
        </w:rPr>
        <w:t>Architect and develop the application backend service handling session security, multi-tenant isolation, role-based access control (RBAC), auditing, data transformation, and chart caching. Interface with pre-existing data query interfaces/APIs provided by SwiftYou to render real-time and pre-warmed dashboard metrics.</w:t>
      </w:r>
    </w:p>
    <w:p>
      <w:pPr>
        <w:pStyle w:val="ListBullet"/>
        <w:spacing w:before="0" w:after="60" w:line="276" w:lineRule="auto"/>
      </w:pPr>
      <w:r>
        <w:rPr>
          <w:rFonts w:ascii="Calibri" w:hAnsi="Calibri"/>
          <w:b/>
          <w:color w:val="1E293B"/>
          <w:sz w:val="21"/>
        </w:rPr>
        <w:t xml:space="preserve">3. Automated Reporting Engine (Auto-Reporting): </w:t>
      </w:r>
      <w:r>
        <w:rPr>
          <w:rFonts w:ascii="Calibri" w:hAnsi="Calibri"/>
          <w:color w:val="1E293B"/>
          <w:sz w:val="21"/>
        </w:rPr>
        <w:t>Develop automated scheduled reporting pipelines (daily/weekly/monthly KPI digests, trigger-based executive alerts). Implement multi-format data rendering and export capabilities (pixel-perfect PDF reports, styled Excel sheets, CSV, PNG/SVG chart snapshots). Implement automated report delivery integrations (Email SMTP, Webhook notifications).</w:t>
      </w:r>
    </w:p>
    <w:p>
      <w:pPr>
        <w:pStyle w:val="ListBullet"/>
        <w:spacing w:before="0" w:after="60" w:line="276" w:lineRule="auto"/>
      </w:pPr>
      <w:r>
        <w:rPr>
          <w:rFonts w:ascii="Calibri" w:hAnsi="Calibri"/>
          <w:b/>
          <w:color w:val="1E293B"/>
          <w:sz w:val="21"/>
        </w:rPr>
        <w:t xml:space="preserve">4. "Talk to Data" Conversational BI User Interface: </w:t>
      </w:r>
      <w:r>
        <w:rPr>
          <w:rFonts w:ascii="Calibri" w:hAnsi="Calibri"/>
          <w:color w:val="1E293B"/>
          <w:sz w:val="21"/>
        </w:rPr>
        <w:t>Develop the interactive "Talk to Data" natural language inquiry interface (chat UI dialog, prompt chips, query history, message threads). Render multi-modal AI responses: dynamic charts, tabular drill-downs, natural language insights/explanations, and follow-up query suggestions. Connect the UI to SwiftYou's backend conversational AI endpoint.</w:t>
      </w:r>
    </w:p>
    <w:p>
      <w:pPr>
        <w:pStyle w:val="ListBullet"/>
        <w:spacing w:before="0" w:after="60" w:line="276" w:lineRule="auto"/>
      </w:pPr>
      <w:r>
        <w:rPr>
          <w:rFonts w:ascii="Calibri" w:hAnsi="Calibri"/>
          <w:b/>
          <w:color w:val="1E293B"/>
          <w:sz w:val="21"/>
        </w:rPr>
        <w:t xml:space="preserve">5. System Integration &amp; End-to-End Quality Assurance: </w:t>
      </w:r>
      <w:r>
        <w:rPr>
          <w:rFonts w:ascii="Calibri" w:hAnsi="Calibri"/>
          <w:color w:val="1E293B"/>
          <w:sz w:val="21"/>
        </w:rPr>
        <w:t>Unit testing, cross-browser compatibility testing, mobile responsiveness testing, load/stress testing, and tenant security isolation verification.</w:t>
      </w:r>
    </w:p>
    <w:p>
      <w:pPr>
        <w:pStyle w:val="ListBullet"/>
        <w:spacing w:before="0" w:after="60" w:line="276" w:lineRule="auto"/>
      </w:pPr>
      <w:r>
        <w:rPr>
          <w:rFonts w:ascii="Calibri" w:hAnsi="Calibri"/>
          <w:b/>
          <w:color w:val="1E293B"/>
          <w:sz w:val="21"/>
        </w:rPr>
        <w:t xml:space="preserve">6. Cloud Deployment, CI/CD, &amp; Go-Live Support: </w:t>
      </w:r>
      <w:r>
        <w:rPr>
          <w:rFonts w:ascii="Calibri" w:hAnsi="Calibri"/>
          <w:color w:val="1E293B"/>
          <w:sz w:val="21"/>
        </w:rPr>
        <w:t>Containerize application components (Docker/Compose) and deploy to SwiftYou’s specified cloud environment (e.g., Render, AWS, GCP, or private cloud). Set up automated CI/CD deployment pipelines, environment configuration management, and production monitoring. Provide production go-live assistance, user acceptance testing (UAT) defect resolution, and developer knowledge transfer.</w:t>
      </w:r>
    </w:p>
    <w:p>
      <w:pPr>
        <w:keepNext/>
        <w:spacing w:before="200" w:after="80"/>
      </w:pPr>
      <w:r>
        <w:rPr>
          <w:rFonts w:ascii="Arial" w:hAnsi="Arial"/>
          <w:b/>
          <w:color w:val="334155"/>
          <w:sz w:val="22"/>
        </w:rPr>
        <w:t>2.2 Explicit Exclusions (Out of Scope)</w:t>
      </w:r>
    </w:p>
    <w:p>
      <w:pPr>
        <w:spacing w:before="0" w:after="80" w:line="276" w:lineRule="auto"/>
      </w:pPr>
      <w:r>
        <w:rPr>
          <w:rFonts w:ascii="Calibri" w:hAnsi="Calibri"/>
          <w:color w:val="1E293B"/>
          <w:sz w:val="21"/>
        </w:rPr>
        <w:t>To avoid ambiguity, the following items are strictly OUT OF SCOPE for Bytepilot under this agreement:</w:t>
      </w:r>
    </w:p>
    <w:p>
      <w:pPr>
        <w:pStyle w:val="ListBullet"/>
        <w:spacing w:before="0" w:after="60" w:line="276" w:lineRule="auto"/>
      </w:pPr>
      <w:r>
        <w:rPr>
          <w:rFonts w:ascii="Calibri" w:hAnsi="Calibri"/>
          <w:b/>
          <w:color w:val="1E293B"/>
          <w:sz w:val="21"/>
        </w:rPr>
        <w:t xml:space="preserve">1. Warehouse Buildup &amp; Data Engineering Infrastructure: </w:t>
      </w:r>
      <w:r>
        <w:rPr>
          <w:rFonts w:ascii="Calibri" w:hAnsi="Calibri"/>
          <w:color w:val="1E293B"/>
          <w:sz w:val="21"/>
        </w:rPr>
        <w:t>Bytepilot is not responsible for building, designing, or migrating the core data warehouse (e.g., ClickHouse cluster setup, PostgreSQL/SQLite DDL warehouse architecture, ETL/ELT pipelines from external websites/databases into the warehouse). SwiftYou will provide the structured data sources / query endpoints.</w:t>
      </w:r>
    </w:p>
    <w:p>
      <w:pPr>
        <w:pStyle w:val="ListBullet"/>
        <w:spacing w:before="0" w:after="60" w:line="276" w:lineRule="auto"/>
      </w:pPr>
      <w:r>
        <w:rPr>
          <w:rFonts w:ascii="Calibri" w:hAnsi="Calibri"/>
          <w:b/>
          <w:color w:val="1E293B"/>
          <w:sz w:val="21"/>
        </w:rPr>
        <w:t xml:space="preserve">2. Wren AI Internal Engine &amp; Semantic Modeling: </w:t>
      </w:r>
      <w:r>
        <w:rPr>
          <w:rFonts w:ascii="Calibri" w:hAnsi="Calibri"/>
          <w:color w:val="1E293B"/>
          <w:sz w:val="21"/>
        </w:rPr>
        <w:t>Bytepilot is not responsible for the internal development, training, hosting, or semantic graph modeling of the Wren AI core engine. SwiftYou shall provide the standardized API/query interface from Wren AI for the "Talk to Data" feature to consume.</w:t>
      </w:r>
    </w:p>
    <w:p>
      <w:pPr>
        <w:pStyle w:val="ListBullet"/>
        <w:spacing w:before="0" w:after="60" w:line="276" w:lineRule="auto"/>
      </w:pPr>
      <w:r>
        <w:rPr>
          <w:rFonts w:ascii="Calibri" w:hAnsi="Calibri"/>
          <w:b/>
          <w:color w:val="1E293B"/>
          <w:sz w:val="21"/>
        </w:rPr>
        <w:t xml:space="preserve">3. Third-Party Infrastructure &amp; Cloud Billing: </w:t>
      </w:r>
      <w:r>
        <w:rPr>
          <w:rFonts w:ascii="Calibri" w:hAnsi="Calibri"/>
          <w:color w:val="1E293B"/>
          <w:sz w:val="21"/>
        </w:rPr>
        <w:t>All cloud hosting fees (servers, databases, domains, SSL certificates, external LLM API token costs) will be borne directly by SwiftYou.</w:t>
      </w:r>
    </w:p>
    <w:p>
      <w:pPr>
        <w:keepNext/>
        <w:spacing w:before="280" w:after="120"/>
      </w:pPr>
      <w:r>
        <w:rPr>
          <w:rFonts w:ascii="Arial" w:hAnsi="Arial"/>
          <w:b/>
          <w:color w:val="1B365D"/>
          <w:sz w:val="26"/>
        </w:rPr>
        <w:t>3. System Features &amp; Technical Specifications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6624"/>
      </w:tblGrid>
      <w:tr>
        <w:tc>
          <w:tcPr>
            <w:tcW w:type="dxa" w:w="4896"/>
            <w:shd w:fill="1B365D"/>
            <w:tcMar>
              <w:top w:w="140" w:type="dxa"/>
              <w:bottom w:w="140" w:type="dxa"/>
              <w:left w:w="160" w:type="dxa"/>
              <w:right w:w="160" w:type="dxa"/>
            </w:tcMar>
          </w:tcPr>
          <w:p>
            <w:pPr>
              <w:jc w:val="left"/>
            </w:pPr>
            <w:r>
              <w:rPr>
                <w:rFonts w:ascii="Arial" w:hAnsi="Arial"/>
                <w:b/>
                <w:color w:val="FFFFFF"/>
                <w:sz w:val="20"/>
              </w:rPr>
              <w:t>Module</w:t>
            </w:r>
          </w:p>
        </w:tc>
        <w:tc>
          <w:tcPr>
            <w:tcW w:type="dxa" w:w="4896"/>
            <w:shd w:fill="1B365D"/>
            <w:tcMar>
              <w:top w:w="140" w:type="dxa"/>
              <w:bottom w:w="140" w:type="dxa"/>
              <w:left w:w="160" w:type="dxa"/>
              <w:right w:w="160" w:type="dxa"/>
            </w:tcMar>
          </w:tcPr>
          <w:p>
            <w:pPr>
              <w:jc w:val="left"/>
            </w:pPr>
            <w:r>
              <w:rPr>
                <w:rFonts w:ascii="Arial" w:hAnsi="Arial"/>
                <w:b/>
                <w:color w:val="FFFFFF"/>
                <w:sz w:val="20"/>
              </w:rPr>
              <w:t>Technical Features &amp; Specifications</w:t>
            </w:r>
          </w:p>
        </w:tc>
      </w:tr>
      <w:tr>
        <w:tc>
          <w:tcPr>
            <w:tcW w:type="dxa" w:w="3168"/>
            <w:shd w:fill="FFFFFF"/>
            <w:tcMar>
              <w:top w:w="100" w:type="dxa"/>
              <w:bottom w:w="100" w:type="dxa"/>
              <w:left w:w="140" w:type="dxa"/>
              <w:right w:w="140" w:type="dxa"/>
            </w:tcMar>
          </w:tcPr>
          <w:p>
            <w:pPr>
              <w:spacing w:line="276" w:lineRule="auto"/>
            </w:pPr>
            <w:r>
              <w:rPr>
                <w:rFonts w:ascii="Calibri" w:hAnsi="Calibri"/>
                <w:b/>
                <w:color w:val="1B365D"/>
                <w:sz w:val="20"/>
              </w:rPr>
              <w:t>1. UI/UX &amp; Frontend Dashboard</w:t>
            </w:r>
          </w:p>
        </w:tc>
        <w:tc>
          <w:tcPr>
            <w:tcW w:type="dxa" w:w="6624"/>
            <w:shd w:fill="FFFFFF"/>
            <w:tcMar>
              <w:top w:w="100" w:type="dxa"/>
              <w:bottom w:w="100" w:type="dxa"/>
              <w:left w:w="140" w:type="dxa"/>
              <w:right w:w="140" w:type="dxa"/>
            </w:tcMar>
          </w:tcPr>
          <w:p>
            <w:pPr>
              <w:spacing w:line="276" w:lineRule="auto"/>
            </w:pPr>
            <w:r>
              <w:rPr>
                <w:rFonts w:ascii="Calibri" w:hAnsi="Calibri"/>
                <w:color w:val="1E293B"/>
                <w:sz w:val="19"/>
              </w:rPr>
              <w:t>• Responsive Web &amp; Mobile layouts (optimized for desktop, tablet, and mobile browsers).</w:t>
              <w:br/>
              <w:t>• Interactive chart library (ECharts / Chart.js / Plotly) supporting drill-down, hover tooltips, and dynamic series toggle.</w:t>
              <w:br/>
              <w:t>• Multi-language i18n architecture with dynamic locale switching.</w:t>
              <w:br/>
              <w:t>• Client-side chart/data export options (PNG, SVG, CSV, Excel).</w:t>
            </w:r>
          </w:p>
        </w:tc>
      </w:tr>
      <w:tr>
        <w:tc>
          <w:tcPr>
            <w:tcW w:type="dxa" w:w="3168"/>
            <w:shd w:fill="F8FAFC"/>
            <w:tcMar>
              <w:top w:w="100" w:type="dxa"/>
              <w:bottom w:w="100" w:type="dxa"/>
              <w:left w:w="140" w:type="dxa"/>
              <w:right w:w="140" w:type="dxa"/>
            </w:tcMar>
          </w:tcPr>
          <w:p>
            <w:pPr>
              <w:spacing w:line="276" w:lineRule="auto"/>
            </w:pPr>
            <w:r>
              <w:rPr>
                <w:rFonts w:ascii="Calibri" w:hAnsi="Calibri"/>
                <w:b/>
                <w:color w:val="1B365D"/>
                <w:sz w:val="20"/>
              </w:rPr>
              <w:t>2. Backend Service &amp; Security</w:t>
            </w:r>
          </w:p>
        </w:tc>
        <w:tc>
          <w:tcPr>
            <w:tcW w:type="dxa" w:w="6624"/>
            <w:shd w:fill="F8FAFC"/>
            <w:tcMar>
              <w:top w:w="100" w:type="dxa"/>
              <w:bottom w:w="100" w:type="dxa"/>
              <w:left w:w="140" w:type="dxa"/>
              <w:right w:w="140" w:type="dxa"/>
            </w:tcMar>
          </w:tcPr>
          <w:p>
            <w:pPr>
              <w:spacing w:line="276" w:lineRule="auto"/>
            </w:pPr>
            <w:r>
              <w:rPr>
                <w:rFonts w:ascii="Calibri" w:hAnsi="Calibri"/>
                <w:color w:val="1E293B"/>
                <w:sz w:val="19"/>
              </w:rPr>
              <w:t>• High-performance API backend (FastAPI / Node.js / Python ASGI) with query optimization.</w:t>
              <w:br/>
              <w:t>• Pre-warming and caching layer for instant KPI rendering upon login.</w:t>
              <w:br/>
              <w:t>• Strict multi-tenancy architecture ensuring absolute data isolation across different customer tenants.</w:t>
              <w:br/>
              <w:t>• Granular Role-Based Access Control (RBAC: Platform Admin, Tenant Admin, Manager, Viewer).</w:t>
              <w:br/>
              <w:t>• Secure session management, HTTPS/WSS enforcement, and audit logs.</w:t>
            </w:r>
          </w:p>
        </w:tc>
      </w:tr>
      <w:tr>
        <w:tc>
          <w:tcPr>
            <w:tcW w:type="dxa" w:w="3168"/>
            <w:shd w:fill="FFFFFF"/>
            <w:tcMar>
              <w:top w:w="100" w:type="dxa"/>
              <w:bottom w:w="100" w:type="dxa"/>
              <w:left w:w="140" w:type="dxa"/>
              <w:right w:w="140" w:type="dxa"/>
            </w:tcMar>
          </w:tcPr>
          <w:p>
            <w:pPr>
              <w:spacing w:line="276" w:lineRule="auto"/>
            </w:pPr>
            <w:r>
              <w:rPr>
                <w:rFonts w:ascii="Calibri" w:hAnsi="Calibri"/>
                <w:b/>
                <w:color w:val="1B365D"/>
                <w:sz w:val="20"/>
              </w:rPr>
              <w:t>3. Auto-Reporting System</w:t>
            </w:r>
          </w:p>
        </w:tc>
        <w:tc>
          <w:tcPr>
            <w:tcW w:type="dxa" w:w="6624"/>
            <w:shd w:fill="FFFFFF"/>
            <w:tcMar>
              <w:top w:w="100" w:type="dxa"/>
              <w:bottom w:w="100" w:type="dxa"/>
              <w:left w:w="140" w:type="dxa"/>
              <w:right w:w="140" w:type="dxa"/>
            </w:tcMar>
          </w:tcPr>
          <w:p>
            <w:pPr>
              <w:spacing w:line="276" w:lineRule="auto"/>
            </w:pPr>
            <w:r>
              <w:rPr>
                <w:rFonts w:ascii="Calibri" w:hAnsi="Calibri"/>
                <w:color w:val="1E293B"/>
                <w:sz w:val="19"/>
              </w:rPr>
              <w:t>• Configurable report scheduler (cron-based schedules per tenant/user).</w:t>
              <w:br/>
              <w:t>• High-fidelity report template generator (Executive Briefs, Sales Summaries).</w:t>
              <w:br/>
              <w:t>• Automated document rendering engine (Headless PDF rendering, multi-tab Excel generation).</w:t>
              <w:br/>
              <w:t>• Asynchronous notification queue for email and webhook dispatching.</w:t>
            </w:r>
          </w:p>
        </w:tc>
      </w:tr>
      <w:tr>
        <w:tc>
          <w:tcPr>
            <w:tcW w:type="dxa" w:w="3168"/>
            <w:shd w:fill="F8FAFC"/>
            <w:tcMar>
              <w:top w:w="100" w:type="dxa"/>
              <w:bottom w:w="100" w:type="dxa"/>
              <w:left w:w="140" w:type="dxa"/>
              <w:right w:w="140" w:type="dxa"/>
            </w:tcMar>
          </w:tcPr>
          <w:p>
            <w:pPr>
              <w:spacing w:line="276" w:lineRule="auto"/>
            </w:pPr>
            <w:r>
              <w:rPr>
                <w:rFonts w:ascii="Calibri" w:hAnsi="Calibri"/>
                <w:b/>
                <w:color w:val="1B365D"/>
                <w:sz w:val="20"/>
              </w:rPr>
              <w:t>4. "Talk to Data" Interface</w:t>
            </w:r>
          </w:p>
        </w:tc>
        <w:tc>
          <w:tcPr>
            <w:tcW w:type="dxa" w:w="6624"/>
            <w:shd w:fill="F8FAFC"/>
            <w:tcMar>
              <w:top w:w="100" w:type="dxa"/>
              <w:bottom w:w="100" w:type="dxa"/>
              <w:left w:w="140" w:type="dxa"/>
              <w:right w:w="140" w:type="dxa"/>
            </w:tcMar>
          </w:tcPr>
          <w:p>
            <w:pPr>
              <w:spacing w:line="276" w:lineRule="auto"/>
            </w:pPr>
            <w:r>
              <w:rPr>
                <w:rFonts w:ascii="Calibri" w:hAnsi="Calibri"/>
                <w:color w:val="1E293B"/>
                <w:sz w:val="19"/>
              </w:rPr>
              <w:t>• Seamless chat panel / floating dialog integrated into the dashboard.</w:t>
              <w:br/>
              <w:t>• Query input with auto-complete, recommended prompt chips, and conversation memory.</w:t>
              <w:br/>
              <w:t>• Dynamic response rendering: structured text commentary, interactive data visualizations, and underlying SQL/data transparency toggle.</w:t>
              <w:br/>
              <w:t>• Clean API client decoupled from the backend LLM/Wren AI engine.</w:t>
            </w:r>
          </w:p>
        </w:tc>
      </w:tr>
      <w:tr>
        <w:tc>
          <w:tcPr>
            <w:tcW w:type="dxa" w:w="3168"/>
            <w:shd w:fill="FFFFFF"/>
            <w:tcMar>
              <w:top w:w="100" w:type="dxa"/>
              <w:bottom w:w="100" w:type="dxa"/>
              <w:left w:w="140" w:type="dxa"/>
              <w:right w:w="140" w:type="dxa"/>
            </w:tcMar>
          </w:tcPr>
          <w:p>
            <w:pPr>
              <w:spacing w:line="276" w:lineRule="auto"/>
            </w:pPr>
            <w:r>
              <w:rPr>
                <w:rFonts w:ascii="Calibri" w:hAnsi="Calibri"/>
                <w:b/>
                <w:color w:val="1B365D"/>
                <w:sz w:val="20"/>
              </w:rPr>
              <w:t>5. Cloud Deployment &amp; DevOps</w:t>
            </w:r>
          </w:p>
        </w:tc>
        <w:tc>
          <w:tcPr>
            <w:tcW w:type="dxa" w:w="6624"/>
            <w:shd w:fill="FFFFFF"/>
            <w:tcMar>
              <w:top w:w="100" w:type="dxa"/>
              <w:bottom w:w="100" w:type="dxa"/>
              <w:left w:w="140" w:type="dxa"/>
              <w:right w:w="140" w:type="dxa"/>
            </w:tcMar>
          </w:tcPr>
          <w:p>
            <w:pPr>
              <w:spacing w:line="276" w:lineRule="auto"/>
            </w:pPr>
            <w:r>
              <w:rPr>
                <w:rFonts w:ascii="Calibri" w:hAnsi="Calibri"/>
                <w:color w:val="1E293B"/>
                <w:sz w:val="19"/>
              </w:rPr>
              <w:t>• Dockerized packaging for frontend, backend, and background workers.</w:t>
              <w:br/>
              <w:t>• Multi-environment configuration support (local, staging, production).</w:t>
              <w:br/>
              <w:t>• Zero-downtime deployment script and health check probes.</w:t>
              <w:br/>
              <w:t>• Logging, metrics collection, and exception alerting setup.</w:t>
            </w:r>
          </w:p>
        </w:tc>
      </w:tr>
    </w:tbl>
    <w:p>
      <w:pPr>
        <w:spacing w:after="120"/>
      </w:pPr>
    </w:p>
    <w:p>
      <w:pPr>
        <w:keepNext/>
        <w:spacing w:before="280" w:after="120"/>
      </w:pPr>
      <w:r>
        <w:rPr>
          <w:rFonts w:ascii="Arial" w:hAnsi="Arial"/>
          <w:b/>
          <w:color w:val="1B365D"/>
          <w:sz w:val="26"/>
        </w:rPr>
        <w:t>4. Deliverables</w:t>
      </w:r>
    </w:p>
    <w:p>
      <w:pPr>
        <w:spacing w:before="0" w:after="80" w:line="276" w:lineRule="auto"/>
      </w:pPr>
      <w:r>
        <w:rPr>
          <w:rFonts w:ascii="Calibri" w:hAnsi="Calibri"/>
          <w:color w:val="1E293B"/>
          <w:sz w:val="21"/>
        </w:rPr>
        <w:t>Bytepilot shall deliver the following items upon completion of the milestones:</w:t>
      </w:r>
    </w:p>
    <w:p>
      <w:pPr>
        <w:pStyle w:val="ListBullet"/>
        <w:spacing w:before="0" w:after="60" w:line="276" w:lineRule="auto"/>
      </w:pPr>
      <w:r>
        <w:rPr>
          <w:rFonts w:ascii="Calibri" w:hAnsi="Calibri"/>
          <w:b/>
          <w:color w:val="1E293B"/>
          <w:sz w:val="21"/>
        </w:rPr>
        <w:t xml:space="preserve">1. Complete Source Code: </w:t>
      </w:r>
      <w:r>
        <w:rPr>
          <w:rFonts w:ascii="Calibri" w:hAnsi="Calibri"/>
          <w:color w:val="1E293B"/>
          <w:sz w:val="21"/>
        </w:rPr>
        <w:t>100% clean, unminified, well-commented source code for all frontend web/mobile interfaces, backend APIs, and reporting workers. Git repository with full commit history, tagged release versions, and branch management.</w:t>
      </w:r>
    </w:p>
    <w:p>
      <w:pPr>
        <w:pStyle w:val="ListBullet"/>
        <w:spacing w:before="0" w:after="60" w:line="276" w:lineRule="auto"/>
      </w:pPr>
      <w:r>
        <w:rPr>
          <w:rFonts w:ascii="Calibri" w:hAnsi="Calibri"/>
          <w:b/>
          <w:color w:val="1E293B"/>
          <w:sz w:val="21"/>
        </w:rPr>
        <w:t xml:space="preserve">2. UI/UX Design Assets: </w:t>
      </w:r>
      <w:r>
        <w:rPr>
          <w:rFonts w:ascii="Calibri" w:hAnsi="Calibri"/>
          <w:color w:val="1E293B"/>
          <w:sz w:val="21"/>
        </w:rPr>
        <w:t>Original Figma / design system files including style guides, UI components, icons, and layout prototypes.</w:t>
      </w:r>
    </w:p>
    <w:p>
      <w:pPr>
        <w:pStyle w:val="ListBullet"/>
        <w:spacing w:before="0" w:after="60" w:line="276" w:lineRule="auto"/>
      </w:pPr>
      <w:r>
        <w:rPr>
          <w:rFonts w:ascii="Calibri" w:hAnsi="Calibri"/>
          <w:b/>
          <w:color w:val="1E293B"/>
          <w:sz w:val="21"/>
        </w:rPr>
        <w:t xml:space="preserve">3. Deployment Packages &amp; Infrastructure as Code: </w:t>
      </w:r>
      <w:r>
        <w:rPr>
          <w:rFonts w:ascii="Calibri" w:hAnsi="Calibri"/>
          <w:color w:val="1E293B"/>
          <w:sz w:val="21"/>
        </w:rPr>
        <w:t>Dockerfile, docker-compose.yml, Helm/K8s manifests, or cloud-specific deployment configuration scripts. Automated CI/CD pipeline configuration files (e.g., GitHub Actions).</w:t>
      </w:r>
    </w:p>
    <w:p>
      <w:pPr>
        <w:pStyle w:val="ListBullet"/>
        <w:spacing w:before="0" w:after="60" w:line="276" w:lineRule="auto"/>
      </w:pPr>
      <w:r>
        <w:rPr>
          <w:rFonts w:ascii="Calibri" w:hAnsi="Calibri"/>
          <w:b/>
          <w:color w:val="1E293B"/>
          <w:sz w:val="21"/>
        </w:rPr>
        <w:t xml:space="preserve">4. Documentation Package: </w:t>
      </w:r>
      <w:r>
        <w:rPr>
          <w:rFonts w:ascii="Calibri" w:hAnsi="Calibri"/>
          <w:color w:val="1E293B"/>
          <w:sz w:val="21"/>
        </w:rPr>
        <w:t>Comprehensive documentation including System Architecture &amp; Design Document (SADD), API Specifications (OpenAPI/Swagger), Deployment &amp; Maintenance SOP, and User &amp; Administration Guide.</w:t>
      </w:r>
    </w:p>
    <w:p>
      <w:pPr>
        <w:pStyle w:val="ListBullet"/>
        <w:spacing w:before="0" w:after="60" w:line="276" w:lineRule="auto"/>
      </w:pPr>
      <w:r>
        <w:rPr>
          <w:rFonts w:ascii="Calibri" w:hAnsi="Calibri"/>
          <w:b/>
          <w:color w:val="1E293B"/>
          <w:sz w:val="21"/>
        </w:rPr>
        <w:t xml:space="preserve">5. Quality Assurance &amp; Test Reports: </w:t>
      </w:r>
      <w:r>
        <w:rPr>
          <w:rFonts w:ascii="Calibri" w:hAnsi="Calibri"/>
          <w:color w:val="1E293B"/>
          <w:sz w:val="21"/>
        </w:rPr>
        <w:t>Test plans, automated test suites, regression test results, and formal UAT sign-off report.</w:t>
      </w:r>
    </w:p>
    <w:p>
      <w:pPr>
        <w:pStyle w:val="ListBullet"/>
        <w:spacing w:before="0" w:after="60" w:line="276" w:lineRule="auto"/>
      </w:pPr>
      <w:r>
        <w:rPr>
          <w:rFonts w:ascii="Calibri" w:hAnsi="Calibri"/>
          <w:b/>
          <w:color w:val="1E293B"/>
          <w:sz w:val="21"/>
        </w:rPr>
        <w:t xml:space="preserve">6. Go-Live &amp; Cloud Deployment: </w:t>
      </w:r>
      <w:r>
        <w:rPr>
          <w:rFonts w:ascii="Calibri" w:hAnsi="Calibri"/>
          <w:color w:val="1E293B"/>
          <w:sz w:val="21"/>
        </w:rPr>
        <w:t>Successful deployment, validation, and configuration of the production system on SwiftYou's cloud infrastructure.</w:t>
      </w:r>
    </w:p>
    <w:p>
      <w:pPr>
        <w:pStyle w:val="ListBullet"/>
        <w:spacing w:before="0" w:after="60" w:line="276" w:lineRule="auto"/>
      </w:pPr>
      <w:r>
        <w:rPr>
          <w:rFonts w:ascii="Calibri" w:hAnsi="Calibri"/>
          <w:b/>
          <w:color w:val="1E293B"/>
          <w:sz w:val="21"/>
        </w:rPr>
        <w:t xml:space="preserve">7. Warranty &amp; Hypercare Support: </w:t>
      </w:r>
      <w:r>
        <w:rPr>
          <w:rFonts w:ascii="Calibri" w:hAnsi="Calibri"/>
          <w:color w:val="1E293B"/>
          <w:sz w:val="21"/>
        </w:rPr>
        <w:t>60 (sixty) calendar days of post-go-live hypercare support for critical bug fixes, system tuning, and technical guidance.</w:t>
      </w:r>
    </w:p>
    <w:p>
      <w:pPr>
        <w:keepNext/>
        <w:spacing w:before="280" w:after="120"/>
      </w:pPr>
      <w:r>
        <w:rPr>
          <w:rFonts w:ascii="Arial" w:hAnsi="Arial"/>
          <w:b/>
          <w:color w:val="1B365D"/>
          <w:sz w:val="26"/>
        </w:rPr>
        <w:t>5. Milestone Schedule &amp; Delivery Timeline</w:t>
      </w:r>
    </w:p>
    <w:p>
      <w:pPr>
        <w:spacing w:before="0" w:after="80" w:line="276" w:lineRule="auto"/>
      </w:pPr>
      <w:r>
        <w:rPr>
          <w:rFonts w:ascii="Calibri" w:hAnsi="Calibri"/>
          <w:color w:val="1E293B"/>
          <w:sz w:val="21"/>
        </w:rPr>
        <w:t>The project will be executed strictly between 05.Oct.2026 and 31.Dec.2026 under the following milestone schedule: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4896"/>
        <w:gridCol w:w="2304"/>
      </w:tblGrid>
      <w:tr>
        <w:tc>
          <w:tcPr>
            <w:tcW w:type="dxa" w:w="3264"/>
            <w:shd w:fill="1B365D"/>
            <w:tcMar>
              <w:top w:w="140" w:type="dxa"/>
              <w:bottom w:w="140" w:type="dxa"/>
              <w:left w:w="140" w:type="dxa"/>
              <w:right w:w="140" w:type="dxa"/>
            </w:tcMar>
          </w:tcPr>
          <w:p>
            <w:r>
              <w:rPr>
                <w:rFonts w:ascii="Arial" w:hAnsi="Arial"/>
                <w:b/>
                <w:color w:val="FFFFFF"/>
                <w:sz w:val="20"/>
              </w:rPr>
              <w:t>Milestone</w:t>
            </w:r>
          </w:p>
        </w:tc>
        <w:tc>
          <w:tcPr>
            <w:tcW w:type="dxa" w:w="3264"/>
            <w:shd w:fill="1B365D"/>
            <w:tcMar>
              <w:top w:w="140" w:type="dxa"/>
              <w:bottom w:w="140" w:type="dxa"/>
              <w:left w:w="140" w:type="dxa"/>
              <w:right w:w="140" w:type="dxa"/>
            </w:tcMar>
          </w:tcPr>
          <w:p>
            <w:r>
              <w:rPr>
                <w:rFonts w:ascii="Arial" w:hAnsi="Arial"/>
                <w:b/>
                <w:color w:val="FFFFFF"/>
                <w:sz w:val="20"/>
              </w:rPr>
              <w:t>Key Deliverables &amp; Objective</w:t>
            </w:r>
          </w:p>
        </w:tc>
        <w:tc>
          <w:tcPr>
            <w:tcW w:type="dxa" w:w="3264"/>
            <w:shd w:fill="1B365D"/>
            <w:tcMar>
              <w:top w:w="140" w:type="dxa"/>
              <w:bottom w:w="140" w:type="dxa"/>
              <w:left w:w="140" w:type="dxa"/>
              <w:right w:w="140" w:type="dxa"/>
            </w:tcMar>
          </w:tcPr>
          <w:p>
            <w:r>
              <w:rPr>
                <w:rFonts w:ascii="Arial" w:hAnsi="Arial"/>
                <w:b/>
                <w:color w:val="FFFFFF"/>
                <w:sz w:val="20"/>
              </w:rPr>
              <w:t>Target Delivery Window</w:t>
            </w:r>
          </w:p>
        </w:tc>
      </w:tr>
      <w:tr>
        <w:tc>
          <w:tcPr>
            <w:tcW w:type="dxa" w:w="2592"/>
            <w:shd w:fill="FFFFFF"/>
            <w:tcMar>
              <w:top w:w="100" w:type="dxa"/>
              <w:bottom w:w="100" w:type="dxa"/>
              <w:left w:w="120" w:type="dxa"/>
              <w:right w:w="120" w:type="dxa"/>
            </w:tcMar>
          </w:tcPr>
          <w:p>
            <w:pPr>
              <w:spacing w:line="276" w:lineRule="auto"/>
            </w:pPr>
            <w:r>
              <w:rPr>
                <w:rFonts w:ascii="Calibri" w:hAnsi="Calibri"/>
                <w:b/>
                <w:color w:val="1B365D"/>
                <w:sz w:val="20"/>
              </w:rPr>
              <w:t>M1: Design &amp; Architecture</w:t>
            </w:r>
          </w:p>
        </w:tc>
        <w:tc>
          <w:tcPr>
            <w:tcW w:type="dxa" w:w="4896"/>
            <w:shd w:fill="FFFFFF"/>
            <w:tcMar>
              <w:top w:w="100" w:type="dxa"/>
              <w:bottom w:w="100" w:type="dxa"/>
              <w:left w:w="120" w:type="dxa"/>
              <w:right w:w="120" w:type="dxa"/>
            </w:tcMar>
          </w:tcPr>
          <w:p>
            <w:pPr>
              <w:spacing w:line="276" w:lineRule="auto"/>
            </w:pPr>
            <w:r>
              <w:rPr>
                <w:rFonts w:ascii="Calibri" w:hAnsi="Calibri"/>
                <w:color w:val="1E293B"/>
                <w:sz w:val="19"/>
              </w:rPr>
              <w:t>Complete UI/UX Figma prototypes, responsive design system, system architecture specification, database/API interface definitions.</w:t>
            </w:r>
          </w:p>
        </w:tc>
        <w:tc>
          <w:tcPr>
            <w:tcW w:type="dxa" w:w="2304"/>
            <w:shd w:fill="FFFFFF"/>
            <w:tcMar>
              <w:top w:w="100" w:type="dxa"/>
              <w:bottom w:w="100" w:type="dxa"/>
              <w:left w:w="120" w:type="dxa"/>
              <w:right w:w="120" w:type="dxa"/>
            </w:tcMar>
          </w:tcPr>
          <w:p>
            <w:pPr>
              <w:spacing w:line="276" w:lineRule="auto"/>
            </w:pPr>
            <w:r>
              <w:rPr>
                <w:rFonts w:ascii="Calibri" w:hAnsi="Calibri"/>
                <w:b/>
                <w:color w:val="334155"/>
                <w:sz w:val="19"/>
              </w:rPr>
              <w:t>05.Oct.2026 – 23.Oct.2026</w:t>
            </w:r>
          </w:p>
        </w:tc>
      </w:tr>
      <w:tr>
        <w:tc>
          <w:tcPr>
            <w:tcW w:type="dxa" w:w="2592"/>
            <w:shd w:fill="F8FAFC"/>
            <w:tcMar>
              <w:top w:w="100" w:type="dxa"/>
              <w:bottom w:w="100" w:type="dxa"/>
              <w:left w:w="120" w:type="dxa"/>
              <w:right w:w="120" w:type="dxa"/>
            </w:tcMar>
          </w:tcPr>
          <w:p>
            <w:pPr>
              <w:spacing w:line="276" w:lineRule="auto"/>
            </w:pPr>
            <w:r>
              <w:rPr>
                <w:rFonts w:ascii="Calibri" w:hAnsi="Calibri"/>
                <w:b/>
                <w:color w:val="1B365D"/>
                <w:sz w:val="20"/>
              </w:rPr>
              <w:t>M2: Core Dashboard (FE &amp; BE)</w:t>
            </w:r>
          </w:p>
        </w:tc>
        <w:tc>
          <w:tcPr>
            <w:tcW w:type="dxa" w:w="4896"/>
            <w:shd w:fill="F8FAFC"/>
            <w:tcMar>
              <w:top w:w="100" w:type="dxa"/>
              <w:bottom w:w="100" w:type="dxa"/>
              <w:left w:w="120" w:type="dxa"/>
              <w:right w:w="120" w:type="dxa"/>
            </w:tcMar>
          </w:tcPr>
          <w:p>
            <w:pPr>
              <w:spacing w:line="276" w:lineRule="auto"/>
            </w:pPr>
            <w:r>
              <w:rPr>
                <w:rFonts w:ascii="Calibri" w:hAnsi="Calibri"/>
                <w:color w:val="1E293B"/>
                <w:sz w:val="19"/>
              </w:rPr>
              <w:t>Responsive frontend dashboard, backend APIs, multi-tenancy isolation, RBAC authentication, and interactive KPI chart components.</w:t>
            </w:r>
          </w:p>
        </w:tc>
        <w:tc>
          <w:tcPr>
            <w:tcW w:type="dxa" w:w="2304"/>
            <w:shd w:fill="F8FAFC"/>
            <w:tcMar>
              <w:top w:w="100" w:type="dxa"/>
              <w:bottom w:w="100" w:type="dxa"/>
              <w:left w:w="120" w:type="dxa"/>
              <w:right w:w="120" w:type="dxa"/>
            </w:tcMar>
          </w:tcPr>
          <w:p>
            <w:pPr>
              <w:spacing w:line="276" w:lineRule="auto"/>
            </w:pPr>
            <w:r>
              <w:rPr>
                <w:rFonts w:ascii="Calibri" w:hAnsi="Calibri"/>
                <w:b/>
                <w:color w:val="334155"/>
                <w:sz w:val="19"/>
              </w:rPr>
              <w:t>24.Oct.2026 – 20.Nov.2026</w:t>
            </w:r>
          </w:p>
        </w:tc>
      </w:tr>
      <w:tr>
        <w:tc>
          <w:tcPr>
            <w:tcW w:type="dxa" w:w="2592"/>
            <w:shd w:fill="FFFFFF"/>
            <w:tcMar>
              <w:top w:w="100" w:type="dxa"/>
              <w:bottom w:w="100" w:type="dxa"/>
              <w:left w:w="120" w:type="dxa"/>
              <w:right w:w="120" w:type="dxa"/>
            </w:tcMar>
          </w:tcPr>
          <w:p>
            <w:pPr>
              <w:spacing w:line="276" w:lineRule="auto"/>
            </w:pPr>
            <w:r>
              <w:rPr>
                <w:rFonts w:ascii="Calibri" w:hAnsi="Calibri"/>
                <w:b/>
                <w:color w:val="1B365D"/>
                <w:sz w:val="20"/>
              </w:rPr>
              <w:t>M3: Auto-Reporting &amp; "Talk to Data" UI</w:t>
            </w:r>
          </w:p>
        </w:tc>
        <w:tc>
          <w:tcPr>
            <w:tcW w:type="dxa" w:w="4896"/>
            <w:shd w:fill="FFFFFF"/>
            <w:tcMar>
              <w:top w:w="100" w:type="dxa"/>
              <w:bottom w:w="100" w:type="dxa"/>
              <w:left w:w="120" w:type="dxa"/>
              <w:right w:w="120" w:type="dxa"/>
            </w:tcMar>
          </w:tcPr>
          <w:p>
            <w:pPr>
              <w:spacing w:line="276" w:lineRule="auto"/>
            </w:pPr>
            <w:r>
              <w:rPr>
                <w:rFonts w:ascii="Calibri" w:hAnsi="Calibri"/>
                <w:color w:val="1E293B"/>
                <w:sz w:val="19"/>
              </w:rPr>
              <w:t>Automated report generation engine (PDF/Excel), scheduled dispatch worker, and conversational chat UI integrated with query endpoints.</w:t>
            </w:r>
          </w:p>
        </w:tc>
        <w:tc>
          <w:tcPr>
            <w:tcW w:type="dxa" w:w="2304"/>
            <w:shd w:fill="FFFFFF"/>
            <w:tcMar>
              <w:top w:w="100" w:type="dxa"/>
              <w:bottom w:w="100" w:type="dxa"/>
              <w:left w:w="120" w:type="dxa"/>
              <w:right w:w="120" w:type="dxa"/>
            </w:tcMar>
          </w:tcPr>
          <w:p>
            <w:pPr>
              <w:spacing w:line="276" w:lineRule="auto"/>
            </w:pPr>
            <w:r>
              <w:rPr>
                <w:rFonts w:ascii="Calibri" w:hAnsi="Calibri"/>
                <w:b/>
                <w:color w:val="334155"/>
                <w:sz w:val="19"/>
              </w:rPr>
              <w:t>21.Nov.2026 – 11.Dec.2026</w:t>
            </w:r>
          </w:p>
        </w:tc>
      </w:tr>
      <w:tr>
        <w:tc>
          <w:tcPr>
            <w:tcW w:type="dxa" w:w="2592"/>
            <w:shd w:fill="F8FAFC"/>
            <w:tcMar>
              <w:top w:w="100" w:type="dxa"/>
              <w:bottom w:w="100" w:type="dxa"/>
              <w:left w:w="120" w:type="dxa"/>
              <w:right w:w="120" w:type="dxa"/>
            </w:tcMar>
          </w:tcPr>
          <w:p>
            <w:pPr>
              <w:spacing w:line="276" w:lineRule="auto"/>
            </w:pPr>
            <w:r>
              <w:rPr>
                <w:rFonts w:ascii="Calibri" w:hAnsi="Calibri"/>
                <w:b/>
                <w:color w:val="1B365D"/>
                <w:sz w:val="20"/>
              </w:rPr>
              <w:t>M4: Integration, QA &amp; UAT</w:t>
            </w:r>
          </w:p>
        </w:tc>
        <w:tc>
          <w:tcPr>
            <w:tcW w:type="dxa" w:w="4896"/>
            <w:shd w:fill="F8FAFC"/>
            <w:tcMar>
              <w:top w:w="100" w:type="dxa"/>
              <w:bottom w:w="100" w:type="dxa"/>
              <w:left w:w="120" w:type="dxa"/>
              <w:right w:w="120" w:type="dxa"/>
            </w:tcMar>
          </w:tcPr>
          <w:p>
            <w:pPr>
              <w:spacing w:line="276" w:lineRule="auto"/>
            </w:pPr>
            <w:r>
              <w:rPr>
                <w:rFonts w:ascii="Calibri" w:hAnsi="Calibri"/>
                <w:color w:val="1E293B"/>
                <w:sz w:val="19"/>
              </w:rPr>
              <w:t>End-to-end integration, performance tuning, cross-device testing, security audit, and formal SwiftYou UAT sign-off on staging.</w:t>
            </w:r>
          </w:p>
        </w:tc>
        <w:tc>
          <w:tcPr>
            <w:tcW w:type="dxa" w:w="2304"/>
            <w:shd w:fill="F8FAFC"/>
            <w:tcMar>
              <w:top w:w="100" w:type="dxa"/>
              <w:bottom w:w="100" w:type="dxa"/>
              <w:left w:w="120" w:type="dxa"/>
              <w:right w:w="120" w:type="dxa"/>
            </w:tcMar>
          </w:tcPr>
          <w:p>
            <w:pPr>
              <w:spacing w:line="276" w:lineRule="auto"/>
            </w:pPr>
            <w:r>
              <w:rPr>
                <w:rFonts w:ascii="Calibri" w:hAnsi="Calibri"/>
                <w:b/>
                <w:color w:val="334155"/>
                <w:sz w:val="19"/>
              </w:rPr>
              <w:t>12.Dec.2026 – 24.Dec.2026</w:t>
            </w:r>
          </w:p>
        </w:tc>
      </w:tr>
      <w:tr>
        <w:tc>
          <w:tcPr>
            <w:tcW w:type="dxa" w:w="2592"/>
            <w:shd w:fill="FFFFFF"/>
            <w:tcMar>
              <w:top w:w="100" w:type="dxa"/>
              <w:bottom w:w="100" w:type="dxa"/>
              <w:left w:w="120" w:type="dxa"/>
              <w:right w:w="120" w:type="dxa"/>
            </w:tcMar>
          </w:tcPr>
          <w:p>
            <w:pPr>
              <w:spacing w:line="276" w:lineRule="auto"/>
            </w:pPr>
            <w:r>
              <w:rPr>
                <w:rFonts w:ascii="Calibri" w:hAnsi="Calibri"/>
                <w:b/>
                <w:color w:val="1B365D"/>
                <w:sz w:val="20"/>
              </w:rPr>
              <w:t>M5: Production Deployment &amp; Handover</w:t>
            </w:r>
          </w:p>
        </w:tc>
        <w:tc>
          <w:tcPr>
            <w:tcW w:type="dxa" w:w="4896"/>
            <w:shd w:fill="FFFFFF"/>
            <w:tcMar>
              <w:top w:w="100" w:type="dxa"/>
              <w:bottom w:w="100" w:type="dxa"/>
              <w:left w:w="120" w:type="dxa"/>
              <w:right w:w="120" w:type="dxa"/>
            </w:tcMar>
          </w:tcPr>
          <w:p>
            <w:pPr>
              <w:spacing w:line="276" w:lineRule="auto"/>
            </w:pPr>
            <w:r>
              <w:rPr>
                <w:rFonts w:ascii="Calibri" w:hAnsi="Calibri"/>
                <w:color w:val="1E293B"/>
                <w:sz w:val="19"/>
              </w:rPr>
              <w:t>Production cloud go-live, full code repository handover, complete documentation delivery, and initiation of warranty period.</w:t>
            </w:r>
          </w:p>
        </w:tc>
        <w:tc>
          <w:tcPr>
            <w:tcW w:type="dxa" w:w="2304"/>
            <w:shd w:fill="FFFFFF"/>
            <w:tcMar>
              <w:top w:w="100" w:type="dxa"/>
              <w:bottom w:w="100" w:type="dxa"/>
              <w:left w:w="120" w:type="dxa"/>
              <w:right w:w="120" w:type="dxa"/>
            </w:tcMar>
          </w:tcPr>
          <w:p>
            <w:pPr>
              <w:spacing w:line="276" w:lineRule="auto"/>
            </w:pPr>
            <w:r>
              <w:rPr>
                <w:rFonts w:ascii="Calibri" w:hAnsi="Calibri"/>
                <w:b/>
                <w:color w:val="334155"/>
                <w:sz w:val="19"/>
              </w:rPr>
              <w:t>25.Dec.2026 – 31.Dec.2026</w:t>
            </w:r>
          </w:p>
        </w:tc>
      </w:tr>
    </w:tbl>
    <w:p>
      <w:pPr>
        <w:spacing w:after="120"/>
      </w:pPr>
    </w:p>
    <w:p>
      <w:pPr>
        <w:keepNext/>
        <w:spacing w:before="280" w:after="120"/>
      </w:pPr>
      <w:r>
        <w:rPr>
          <w:rFonts w:ascii="Arial" w:hAnsi="Arial"/>
          <w:b/>
          <w:color w:val="1B365D"/>
          <w:sz w:val="26"/>
        </w:rPr>
        <w:t>6. Intellectual Property, Confidentiality &amp; Compliance</w:t>
      </w:r>
    </w:p>
    <w:p>
      <w:pPr>
        <w:pStyle w:val="ListBullet"/>
        <w:spacing w:before="0" w:after="60" w:line="276" w:lineRule="auto"/>
      </w:pPr>
      <w:r>
        <w:rPr>
          <w:rFonts w:ascii="Calibri" w:hAnsi="Calibri"/>
          <w:b/>
          <w:color w:val="1E293B"/>
          <w:sz w:val="21"/>
        </w:rPr>
        <w:t xml:space="preserve">1. Ownership of Work Product (Work Made for Hire): </w:t>
      </w:r>
      <w:r>
        <w:rPr>
          <w:rFonts w:ascii="Calibri" w:hAnsi="Calibri"/>
          <w:color w:val="1E293B"/>
          <w:sz w:val="21"/>
        </w:rPr>
        <w:t>All intellectual property rights, source code, designs, algorithms, patents, trademarks, and documentation developed under this agreement shall belong exclusively and unconditionally to SwiftYou upon creation. Bytepilot retains no rights or claims to the deliverable code.</w:t>
      </w:r>
    </w:p>
    <w:p>
      <w:pPr>
        <w:pStyle w:val="ListBullet"/>
        <w:spacing w:before="0" w:after="60" w:line="276" w:lineRule="auto"/>
      </w:pPr>
      <w:r>
        <w:rPr>
          <w:rFonts w:ascii="Calibri" w:hAnsi="Calibri"/>
          <w:b/>
          <w:color w:val="1E293B"/>
          <w:sz w:val="21"/>
        </w:rPr>
        <w:t xml:space="preserve">2. No Proprietary Lock-In / Open Standards: </w:t>
      </w:r>
      <w:r>
        <w:rPr>
          <w:rFonts w:ascii="Calibri" w:hAnsi="Calibri"/>
          <w:color w:val="1E293B"/>
          <w:sz w:val="21"/>
        </w:rPr>
        <w:t>Bytepilot guarantees that all code is developed using standard, open-source or commercial-friendly frameworks without proprietary closed-source runtime locks or undisclosed third-party dependencies.</w:t>
      </w:r>
    </w:p>
    <w:p>
      <w:pPr>
        <w:pStyle w:val="ListBullet"/>
        <w:spacing w:before="0" w:after="60" w:line="276" w:lineRule="auto"/>
      </w:pPr>
      <w:r>
        <w:rPr>
          <w:rFonts w:ascii="Calibri" w:hAnsi="Calibri"/>
          <w:b/>
          <w:color w:val="1E293B"/>
          <w:sz w:val="21"/>
        </w:rPr>
        <w:t xml:space="preserve">3. Confidentiality &amp; Non-Disclosure: </w:t>
      </w:r>
      <w:r>
        <w:rPr>
          <w:rFonts w:ascii="Calibri" w:hAnsi="Calibri"/>
          <w:color w:val="1E293B"/>
          <w:sz w:val="21"/>
        </w:rPr>
        <w:t>Bytepilot agrees to keep all business logic, operational metrics, supply chain data, algorithms, and technical architecture strictly confidential. Bytepilot shall not disclose, duplicate, or use SwiftYou's data for any purpose other than the performance of this agreement.</w:t>
      </w:r>
    </w:p>
    <w:p>
      <w:pPr>
        <w:pStyle w:val="ListBullet"/>
        <w:spacing w:before="0" w:after="60" w:line="276" w:lineRule="auto"/>
      </w:pPr>
      <w:r>
        <w:rPr>
          <w:rFonts w:ascii="Calibri" w:hAnsi="Calibri"/>
          <w:b/>
          <w:color w:val="1E293B"/>
          <w:sz w:val="21"/>
        </w:rPr>
        <w:t xml:space="preserve">4. Data Security &amp; Privacy: </w:t>
      </w:r>
      <w:r>
        <w:rPr>
          <w:rFonts w:ascii="Calibri" w:hAnsi="Calibri"/>
          <w:color w:val="1E293B"/>
          <w:sz w:val="21"/>
        </w:rPr>
        <w:t>No live customer or operational data from SwiftYou shall be exported, copied, or stored on external or unauthorized personal devices. All development and staging tests must use sanitized, anonymized, or mock data sets.</w:t>
      </w:r>
    </w:p>
    <w:p>
      <w:pPr>
        <w:keepNext/>
        <w:spacing w:before="280" w:after="120"/>
      </w:pPr>
      <w:r>
        <w:rPr>
          <w:rFonts w:ascii="Arial" w:hAnsi="Arial"/>
          <w:b/>
          <w:color w:val="1B365D"/>
          <w:sz w:val="26"/>
        </w:rPr>
        <w:t>7. Signatures &amp; Acceptance</w:t>
      </w:r>
    </w:p>
    <w:p>
      <w:pPr>
        <w:spacing w:before="0" w:after="80" w:line="276" w:lineRule="auto"/>
      </w:pPr>
      <w:r>
        <w:rPr>
          <w:rFonts w:ascii="Calibri" w:hAnsi="Calibri"/>
          <w:color w:val="1E293B"/>
          <w:sz w:val="21"/>
        </w:rPr>
        <w:t>IN WITNESS WHEREOF, the authorized representatives of the parties have executed this Statement of Work:</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896"/>
        <w:gridCol w:w="4896"/>
      </w:tblGrid>
      <w:tr>
        <w:tc>
          <w:tcPr>
            <w:tcW w:type="dxa" w:w="4896"/>
            <w:shd w:fill="F1F5F9"/>
            <w:tcMar>
              <w:top w:w="100" w:type="dxa"/>
              <w:bottom w:w="100" w:type="dxa"/>
              <w:left w:w="140" w:type="dxa"/>
              <w:right w:w="140" w:type="dxa"/>
            </w:tcMar>
          </w:tcPr>
          <w:p>
            <w:r>
              <w:rPr>
                <w:rFonts w:ascii="Arial" w:hAnsi="Arial"/>
                <w:b/>
                <w:color w:val="1B365D"/>
                <w:sz w:val="20"/>
              </w:rPr>
              <w:t>For and on behalf of:</w:t>
              <w:br/>
              <w:t>SwiftYou Supply Chain Management (Shanghai) Co. Ltd</w:t>
            </w:r>
          </w:p>
        </w:tc>
        <w:tc>
          <w:tcPr>
            <w:tcW w:type="dxa" w:w="4896"/>
            <w:shd w:fill="F1F5F9"/>
            <w:tcMar>
              <w:top w:w="100" w:type="dxa"/>
              <w:bottom w:w="100" w:type="dxa"/>
              <w:left w:w="140" w:type="dxa"/>
              <w:right w:w="140" w:type="dxa"/>
            </w:tcMar>
          </w:tcPr>
          <w:p>
            <w:r>
              <w:rPr>
                <w:rFonts w:ascii="Arial" w:hAnsi="Arial"/>
                <w:b/>
                <w:color w:val="1B365D"/>
                <w:sz w:val="20"/>
              </w:rPr>
              <w:t>For and on behalf of:</w:t>
              <w:br/>
              <w:t>Bytepilot Technologies Company Limited</w:t>
            </w:r>
          </w:p>
        </w:tc>
      </w:tr>
      <w:tr>
        <w:tc>
          <w:tcPr>
            <w:tcW w:type="dxa" w:w="4896"/>
            <w:tcMar>
              <w:top w:w="120" w:type="dxa"/>
              <w:bottom w:w="120" w:type="dxa"/>
              <w:left w:w="140" w:type="dxa"/>
              <w:right w:w="140" w:type="dxa"/>
            </w:tcMar>
          </w:tcPr>
          <w:p>
            <w:r>
              <w:rPr>
                <w:rFonts w:ascii="Calibri" w:hAnsi="Calibri"/>
                <w:color w:val="1E293B"/>
                <w:sz w:val="20"/>
              </w:rPr>
              <w:t>Signature: __________________________</w:t>
            </w:r>
          </w:p>
        </w:tc>
        <w:tc>
          <w:tcPr>
            <w:tcW w:type="dxa" w:w="4896"/>
            <w:tcMar>
              <w:top w:w="120" w:type="dxa"/>
              <w:bottom w:w="120" w:type="dxa"/>
              <w:left w:w="140" w:type="dxa"/>
              <w:right w:w="140" w:type="dxa"/>
            </w:tcMar>
          </w:tcPr>
          <w:p>
            <w:r>
              <w:rPr>
                <w:rFonts w:ascii="Calibri" w:hAnsi="Calibri"/>
                <w:color w:val="1E293B"/>
                <w:sz w:val="20"/>
              </w:rPr>
              <w:t>Signature: __________________________</w:t>
            </w:r>
          </w:p>
        </w:tc>
      </w:tr>
      <w:tr>
        <w:tc>
          <w:tcPr>
            <w:tcW w:type="dxa" w:w="4896"/>
            <w:tcMar>
              <w:top w:w="120" w:type="dxa"/>
              <w:bottom w:w="120" w:type="dxa"/>
              <w:left w:w="140" w:type="dxa"/>
              <w:right w:w="140" w:type="dxa"/>
            </w:tcMar>
          </w:tcPr>
          <w:p>
            <w:r>
              <w:rPr>
                <w:rFonts w:ascii="Calibri" w:hAnsi="Calibri"/>
                <w:color w:val="1E293B"/>
                <w:sz w:val="20"/>
              </w:rPr>
              <w:t>Name: _______________________________</w:t>
            </w:r>
          </w:p>
        </w:tc>
        <w:tc>
          <w:tcPr>
            <w:tcW w:type="dxa" w:w="4896"/>
            <w:tcMar>
              <w:top w:w="120" w:type="dxa"/>
              <w:bottom w:w="120" w:type="dxa"/>
              <w:left w:w="140" w:type="dxa"/>
              <w:right w:w="140" w:type="dxa"/>
            </w:tcMar>
          </w:tcPr>
          <w:p>
            <w:r>
              <w:rPr>
                <w:rFonts w:ascii="Calibri" w:hAnsi="Calibri"/>
                <w:color w:val="1E293B"/>
                <w:sz w:val="20"/>
              </w:rPr>
              <w:t>Name: _______________________________</w:t>
            </w:r>
          </w:p>
        </w:tc>
      </w:tr>
      <w:tr>
        <w:tc>
          <w:tcPr>
            <w:tcW w:type="dxa" w:w="4896"/>
            <w:tcMar>
              <w:top w:w="120" w:type="dxa"/>
              <w:bottom w:w="120" w:type="dxa"/>
              <w:left w:w="140" w:type="dxa"/>
              <w:right w:w="140" w:type="dxa"/>
            </w:tcMar>
          </w:tcPr>
          <w:p>
            <w:r>
              <w:rPr>
                <w:rFonts w:ascii="Calibri" w:hAnsi="Calibri"/>
                <w:color w:val="1E293B"/>
                <w:sz w:val="20"/>
              </w:rPr>
              <w:t>Title: ________________________________</w:t>
            </w:r>
          </w:p>
        </w:tc>
        <w:tc>
          <w:tcPr>
            <w:tcW w:type="dxa" w:w="4896"/>
            <w:tcMar>
              <w:top w:w="120" w:type="dxa"/>
              <w:bottom w:w="120" w:type="dxa"/>
              <w:left w:w="140" w:type="dxa"/>
              <w:right w:w="140" w:type="dxa"/>
            </w:tcMar>
          </w:tcPr>
          <w:p>
            <w:r>
              <w:rPr>
                <w:rFonts w:ascii="Calibri" w:hAnsi="Calibri"/>
                <w:color w:val="1E293B"/>
                <w:sz w:val="20"/>
              </w:rPr>
              <w:t>Title: ________________________________</w:t>
            </w:r>
          </w:p>
        </w:tc>
      </w:tr>
      <w:tr>
        <w:tc>
          <w:tcPr>
            <w:tcW w:type="dxa" w:w="4896"/>
            <w:tcMar>
              <w:top w:w="120" w:type="dxa"/>
              <w:bottom w:w="120" w:type="dxa"/>
              <w:left w:w="140" w:type="dxa"/>
              <w:right w:w="140" w:type="dxa"/>
            </w:tcMar>
          </w:tcPr>
          <w:p>
            <w:r>
              <w:rPr>
                <w:rFonts w:ascii="Calibri" w:hAnsi="Calibri"/>
                <w:color w:val="1E293B"/>
                <w:sz w:val="20"/>
              </w:rPr>
              <w:t>Date: ________________________________</w:t>
            </w:r>
          </w:p>
        </w:tc>
        <w:tc>
          <w:tcPr>
            <w:tcW w:type="dxa" w:w="4896"/>
            <w:tcMar>
              <w:top w:w="120" w:type="dxa"/>
              <w:bottom w:w="120" w:type="dxa"/>
              <w:left w:w="140" w:type="dxa"/>
              <w:right w:w="140" w:type="dxa"/>
            </w:tcMar>
          </w:tcPr>
          <w:p>
            <w:r>
              <w:rPr>
                <w:rFonts w:ascii="Calibri" w:hAnsi="Calibri"/>
                <w:color w:val="1E293B"/>
                <w:sz w:val="20"/>
              </w:rPr>
              <w:t>Date: ________________________________</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