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iperf3KMP — Code Sharing Analysis</w:t>
      </w:r>
    </w:p>
    <w:p>
      <w:pPr>
        <w:jc w:val="center"/>
      </w:pPr>
      <w:r>
        <w:rPr>
          <w:i/>
          <w:sz w:val="26"/>
        </w:rPr>
        <w:t>Measured Cross-Platform Code Sharing Against the 80% Project Goal</w:t>
      </w:r>
    </w:p>
    <w:p>
      <w:pPr>
        <w:jc w:val="center"/>
      </w:pPr>
      <w:r>
        <w:rPr>
          <w:color w:val="555555"/>
          <w:sz w:val="19"/>
        </w:rPr>
        <w:t>Jerry Abramson  •  Independent Research Study  •  Prepared 2026-08-03  •  Updated 2026-09-12</w:t>
      </w:r>
    </w:p>
    <w:p/>
    <w:p>
      <w:pPr>
        <w:spacing w:after="80"/>
        <w:jc w:val="center"/>
      </w:pPr>
      <w:r>
        <w:rPr>
          <w:b/>
          <w:color w:val="1F3B57"/>
          <w:sz w:val="26"/>
        </w:rPr>
        <w:t>Result: 76.6% – 81.7% shared, depending on methodology — down from the original 82.0% – 87.7% measured in August. Whether the 80% goal still holds now genuinely depends on which methodology is used to defend it; see “What Changed Since August” below.</w:t>
      </w:r>
    </w:p>
    <w:p>
      <w:pPr>
        <w:spacing w:after="200"/>
      </w:pPr>
      <w:r>
        <w:t>One of the project's founding goals was at least 80% code sharing across the three delivered platforms (Android, iOS, Desktop/JVM). This document measures that goal directly against the current tracked source tree, rather than estimating it. Three methodologies are reported side by side, from strictest to most inclusive of this project's specific architecture. As of this update, the strictest two methodologies still clear 80%; the most inclusive one, the one this document itself recommends citing under scrutiny, no longer does.</w:t>
      </w:r>
    </w:p>
    <w:p>
      <w:pPr>
        <w:pStyle w:val="Heading2"/>
      </w:pPr>
      <w:r>
        <w:t>Results by Methodology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72"/>
            <w:shd w:val="clear" w:color="auto" w:fill="1F3B57"/>
            <w:tcBorders>
              <w:top w:val="single" w:sz="4" w:space="0" w:color="BFBFBF"/>
              <w:left w:val="single" w:sz="4" w:space="0" w:color="BFBFBF"/>
              <w:bottom w:val="single" w:sz="4" w:space="0" w:color="BFBFBF"/>
              <w:right w:val="single" w:sz="4" w:space="0" w:color="BFBFBF"/>
            </w:tcBorders>
          </w:tcPr>
          <w:p>
            <w:pPr>
              <w:spacing w:before="60" w:after="60"/>
            </w:pPr>
            <w:r/>
            <w:r>
              <w:rPr>
                <w:b/>
                <w:color w:val="FFFFFF"/>
                <w:sz w:val="19"/>
              </w:rPr>
              <w:t>Methodology</w:t>
            </w:r>
          </w:p>
        </w:tc>
        <w:tc>
          <w:tcPr>
            <w:tcW w:type="dxa" w:w="1512"/>
            <w:shd w:val="clear" w:color="auto" w:fill="1F3B57"/>
            <w:tcBorders>
              <w:top w:val="single" w:sz="4" w:space="0" w:color="BFBFBF"/>
              <w:left w:val="single" w:sz="4" w:space="0" w:color="BFBFBF"/>
              <w:bottom w:val="single" w:sz="4" w:space="0" w:color="BFBFBF"/>
              <w:right w:val="single" w:sz="4" w:space="0" w:color="BFBFBF"/>
            </w:tcBorders>
          </w:tcPr>
          <w:p>
            <w:pPr>
              <w:spacing w:before="60" w:after="60"/>
              <w:jc w:val="center"/>
            </w:pPr>
            <w:r/>
            <w:r>
              <w:rPr>
                <w:b/>
                <w:color w:val="FFFFFF"/>
                <w:sz w:val="19"/>
              </w:rPr>
              <w:t>Shared</w:t>
              <w:br/>
              <w:t>lines</w:t>
            </w:r>
          </w:p>
        </w:tc>
        <w:tc>
          <w:tcPr>
            <w:tcW w:type="dxa" w:w="2016"/>
            <w:shd w:val="clear" w:color="auto" w:fill="1F3B57"/>
            <w:tcBorders>
              <w:top w:val="single" w:sz="4" w:space="0" w:color="BFBFBF"/>
              <w:left w:val="single" w:sz="4" w:space="0" w:color="BFBFBF"/>
              <w:bottom w:val="single" w:sz="4" w:space="0" w:color="BFBFBF"/>
              <w:right w:val="single" w:sz="4" w:space="0" w:color="BFBFBF"/>
            </w:tcBorders>
          </w:tcPr>
          <w:p>
            <w:pPr>
              <w:spacing w:before="60" w:after="60"/>
              <w:jc w:val="center"/>
            </w:pPr>
            <w:r/>
            <w:r>
              <w:rPr>
                <w:b/>
                <w:color w:val="FFFFFF"/>
                <w:sz w:val="19"/>
              </w:rPr>
              <w:t>Platform-specific</w:t>
              <w:br/>
              <w:t>lines</w:t>
            </w:r>
          </w:p>
        </w:tc>
        <w:tc>
          <w:tcPr>
            <w:tcW w:type="dxa" w:w="1080"/>
            <w:shd w:val="clear" w:color="auto" w:fill="1F3B57"/>
            <w:tcBorders>
              <w:top w:val="single" w:sz="4" w:space="0" w:color="BFBFBF"/>
              <w:left w:val="single" w:sz="4" w:space="0" w:color="BFBFBF"/>
              <w:bottom w:val="single" w:sz="4" w:space="0" w:color="BFBFBF"/>
              <w:right w:val="single" w:sz="4" w:space="0" w:color="BFBFBF"/>
            </w:tcBorders>
          </w:tcPr>
          <w:p>
            <w:pPr>
              <w:spacing w:before="60" w:after="60"/>
              <w:jc w:val="center"/>
            </w:pPr>
            <w:r/>
            <w:r>
              <w:rPr>
                <w:b/>
                <w:color w:val="FFFFFF"/>
                <w:sz w:val="19"/>
              </w:rPr>
              <w:t>Total</w:t>
            </w:r>
          </w:p>
        </w:tc>
        <w:tc>
          <w:tcPr>
            <w:tcW w:type="dxa" w:w="1224"/>
            <w:shd w:val="clear" w:color="auto" w:fill="1F3B57"/>
            <w:tcBorders>
              <w:top w:val="single" w:sz="4" w:space="0" w:color="BFBFBF"/>
              <w:left w:val="single" w:sz="4" w:space="0" w:color="BFBFBF"/>
              <w:bottom w:val="single" w:sz="4" w:space="0" w:color="BFBFBF"/>
              <w:right w:val="single" w:sz="4" w:space="0" w:color="BFBFBF"/>
            </w:tcBorders>
          </w:tcPr>
          <w:p>
            <w:pPr>
              <w:spacing w:before="60" w:after="60"/>
              <w:jc w:val="center"/>
            </w:pPr>
            <w:r/>
            <w:r>
              <w:rPr>
                <w:b/>
                <w:color w:val="FFFFFF"/>
                <w:sz w:val="19"/>
              </w:rPr>
              <w:t>Shared %</w:t>
            </w:r>
          </w:p>
        </w:tc>
      </w:tr>
      <w:tr>
        <w:tc>
          <w:tcPr>
            <w:tcW w:type="dxa" w:w="36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Kotlin production code only — commonMain vs. all androidMain / iosMain / jvmMain actuals plus the three app-shell entry points (MainActivity.kt, main.kt, iOSApp.swift)</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5,953</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1,337</w:t>
            </w:r>
          </w:p>
        </w:tc>
        <w:tc>
          <w:tcPr>
            <w:tcW w:type="dxa" w:w="10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7,290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sz w:val="19"/>
              </w:rPr>
              <w:t>81.66%</w:t>
            </w:r>
          </w:p>
        </w:tc>
      </w:tr>
      <w:tr>
        <w:tc>
          <w:tcPr>
            <w:tcW w:type="dxa" w:w="3672"/>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Same as above, with unit/instrumented tests included (commonTest, androidHostTest, iosTest, jvmTest)</w:t>
            </w:r>
          </w:p>
        </w:tc>
        <w:tc>
          <w:tcPr>
            <w:tcW w:type="dxa" w:w="1512"/>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6,234</w:t>
            </w:r>
          </w:p>
        </w:tc>
        <w:tc>
          <w:tcPr>
            <w:tcW w:type="dxa" w:w="2016"/>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1,552</w:t>
            </w:r>
          </w:p>
        </w:tc>
        <w:tc>
          <w:tcPr>
            <w:tcW w:type="dxa" w:w="1080"/>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7,786</w:t>
            </w:r>
          </w:p>
        </w:tc>
        <w:tc>
          <w:tcPr>
            <w:tcW w:type="dxa" w:w="122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sz w:val="19"/>
              </w:rPr>
              <w:t>80.07%</w:t>
            </w:r>
          </w:p>
        </w:tc>
      </w:tr>
      <w:tr>
        <w:tc>
          <w:tcPr>
            <w:tcW w:type="dxa" w:w="3672"/>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Same as row 2, plus the native C interop layer — the platform-agnostic bridge (native_format.h, iperf3_bridge.c/.h) counted as shared; the JNI adapters and per-OS config headers counted as platform-specific</w:t>
            </w:r>
          </w:p>
        </w:tc>
        <w:tc>
          <w:tcPr>
            <w:tcW w:type="dxa" w:w="1512"/>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7,070</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2,158</w:t>
            </w:r>
          </w:p>
        </w:tc>
        <w:tc>
          <w:tcPr>
            <w:tcW w:type="dxa" w:w="1080"/>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9,228</w:t>
            </w:r>
          </w:p>
        </w:tc>
        <w:tc>
          <w:tcPr>
            <w:tcW w:type="dxa" w:w="122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sz w:val="19"/>
              </w:rPr>
              <w:t>76.61%</w:t>
            </w:r>
          </w:p>
        </w:tc>
      </w:tr>
    </w:tbl>
    <w:p>
      <w:pPr>
        <w:spacing w:after="40"/>
      </w:pPr>
    </w:p>
    <w:p>
      <w:pPr>
        <w:pStyle w:val="Heading2"/>
      </w:pPr>
      <w:r>
        <w:t>Raw Line Counts by Source Set</w:t>
      </w:r>
    </w:p>
    <w:p>
      <w:pPr>
        <w:spacing w:after="120"/>
      </w:pPr>
      <w:r>
        <w:t>Physical line counts (wc -l) per Gradle source set / native file, from the tracked source tree (git ls-files), as of this release.</w:t>
      </w:r>
    </w:p>
    <w:tbl>
      <w:tblPr>
        <w:tblW w:type="auto" w:w="0"/>
        <w:jc w:val="center"/>
        <w:tblLayout w:type="fixed"/>
        <w:tblLook w:firstColumn="1" w:firstRow="1" w:lastColumn="0" w:lastRow="0" w:noHBand="0" w:noVBand="1" w:val="04A0"/>
      </w:tblPr>
      <w:tblGrid>
        <w:gridCol w:w="3312"/>
        <w:gridCol w:w="3312"/>
        <w:gridCol w:w="3312"/>
      </w:tblGrid>
      <w:tr>
        <w:tc>
          <w:tcPr>
            <w:tcW w:type="dxa" w:w="4896"/>
            <w:shd w:val="clear" w:color="auto" w:fill="1F3B57"/>
            <w:tcBorders>
              <w:top w:val="single" w:sz="4" w:space="0" w:color="BFBFBF"/>
              <w:left w:val="single" w:sz="4" w:space="0" w:color="BFBFBF"/>
              <w:bottom w:val="single" w:sz="4" w:space="0" w:color="BFBFBF"/>
              <w:right w:val="single" w:sz="4" w:space="0" w:color="BFBFBF"/>
            </w:tcBorders>
          </w:tcPr>
          <w:p>
            <w:pPr>
              <w:spacing w:before="60" w:after="60"/>
            </w:pPr>
            <w:r/>
            <w:r>
              <w:rPr>
                <w:b/>
                <w:color w:val="FFFFFF"/>
                <w:sz w:val="19"/>
              </w:rPr>
              <w:t>Source set / file</w:t>
            </w:r>
          </w:p>
        </w:tc>
        <w:tc>
          <w:tcPr>
            <w:tcW w:type="dxa" w:w="2304"/>
            <w:shd w:val="clear" w:color="auto" w:fill="1F3B57"/>
            <w:tcBorders>
              <w:top w:val="single" w:sz="4" w:space="0" w:color="BFBFBF"/>
              <w:left w:val="single" w:sz="4" w:space="0" w:color="BFBFBF"/>
              <w:bottom w:val="single" w:sz="4" w:space="0" w:color="BFBFBF"/>
              <w:right w:val="single" w:sz="4" w:space="0" w:color="BFBFBF"/>
            </w:tcBorders>
          </w:tcPr>
          <w:p>
            <w:pPr>
              <w:spacing w:before="60" w:after="60"/>
            </w:pPr>
            <w:r/>
            <w:r>
              <w:rPr>
                <w:b/>
                <w:color w:val="FFFFFF"/>
                <w:sz w:val="19"/>
              </w:rPr>
              <w:t>Lines</w:t>
            </w:r>
          </w:p>
        </w:tc>
        <w:tc>
          <w:tcPr>
            <w:tcW w:type="dxa" w:w="2304"/>
            <w:shd w:val="clear" w:color="auto" w:fill="1F3B57"/>
            <w:tcBorders>
              <w:top w:val="single" w:sz="4" w:space="0" w:color="BFBFBF"/>
              <w:left w:val="single" w:sz="4" w:space="0" w:color="BFBFBF"/>
              <w:bottom w:val="single" w:sz="4" w:space="0" w:color="BFBFBF"/>
              <w:right w:val="single" w:sz="4" w:space="0" w:color="BFBFBF"/>
            </w:tcBorders>
          </w:tcPr>
          <w:p>
            <w:pPr>
              <w:spacing w:before="60" w:after="60"/>
            </w:pPr>
            <w:r/>
            <w:r>
              <w:rPr>
                <w:b/>
                <w:color w:val="FFFFFF"/>
                <w:sz w:val="19"/>
              </w:rPr>
              <w:t>Scope</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shared/src/commonMain (Kotlin)</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sz w:val="19"/>
              </w:rPr>
              <w:t>5,953</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color w:val="1F3B57"/>
                <w:sz w:val="19"/>
              </w:rPr>
              <w:t>Shared — all 3 platforms</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shared/src/commonTest (Kotlin)</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sz w:val="19"/>
              </w:rPr>
              <w:t>281</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color w:val="1F3B57"/>
                <w:sz w:val="19"/>
              </w:rPr>
              <w:t>Shared — all 3 platforms</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native/native_format.h + iperf3_bridge.c/.h</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sz w:val="19"/>
              </w:rPr>
              <w:t>836</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color w:val="1F3B57"/>
                <w:sz w:val="19"/>
              </w:rPr>
              <w:t>Shared — all 3 platforms (JNI + cinterop)</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shared/src/androidMain (Kotlin)</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232</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Android only</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shared/src/androidHostTest (Kotlin)</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11</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Android only (test)</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androidApp/ (Kotlin, MainActivity.kt)</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26</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Android only</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shared/src/iosMain (Kotlin)</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498</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iOS only</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shared/src/iosTest (Kotlin)</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58</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iOS only (test)</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iosApp/ (Swift, ContentView.swift + iOSApp.swift)</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30</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iOS only</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shared/src/jvmMain (Kotlin)</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501</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Desktop only</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shared/src/jvmTest (Kotlin)</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146</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Desktop only (test)</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desktopApp/ (Kotlin, main.kt)</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50</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Desktop only</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native/iperf3_jni.c + native_format_jni.c</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371</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Android + Desktop only (JNI adapters)</w:t>
            </w:r>
          </w:p>
        </w:tc>
      </w:tr>
      <w:tr>
        <w:tc>
          <w:tcPr>
            <w:tcW w:type="dxa" w:w="4896"/>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native/iperf_config_android.h</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91</w:t>
            </w:r>
          </w:p>
        </w:tc>
        <w:tc>
          <w:tcPr>
            <w:tcW w:type="dxa" w:w="2304"/>
            <w:shd w:val="clear" w:color="auto" w:fill="F2F5F8"/>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Android only (native build config)</w:t>
            </w:r>
          </w:p>
        </w:tc>
      </w:tr>
      <w:tr>
        <w:tc>
          <w:tcPr>
            <w:tcW w:type="dxa" w:w="4896"/>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native/iperf_config_ios.h</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jc w:val="center"/>
            </w:pPr>
            <w:r/>
            <w:r>
              <w:rPr>
                <w:b w:val="0"/>
                <w:sz w:val="19"/>
              </w:rPr>
              <w:t>100</w:t>
            </w:r>
          </w:p>
        </w:tc>
        <w:tc>
          <w:tcPr>
            <w:tcW w:type="dxa" w:w="2304"/>
            <w:shd w:val="clear" w:color="auto" w:fill="FFFFFF"/>
            <w:tcBorders>
              <w:top w:val="single" w:sz="4" w:space="0" w:color="BFBFBF"/>
              <w:left w:val="single" w:sz="4" w:space="0" w:color="BFBFBF"/>
              <w:bottom w:val="single" w:sz="4" w:space="0" w:color="BFBFBF"/>
              <w:right w:val="single" w:sz="4" w:space="0" w:color="BFBFBF"/>
            </w:tcBorders>
          </w:tcPr>
          <w:p>
            <w:pPr>
              <w:spacing w:before="60" w:after="60"/>
            </w:pPr>
            <w:r/>
            <w:r>
              <w:rPr>
                <w:b w:val="0"/>
                <w:sz w:val="19"/>
              </w:rPr>
              <w:t>iOS only (native build config)</w:t>
            </w:r>
          </w:p>
        </w:tc>
      </w:tr>
      <w:tr>
        <w:tc>
          <w:tcPr>
            <w:tcW w:type="dxa" w:w="3312"/>
          </w:tcPr>
          <w:p>
            <w:r>
              <w:t>native/native_log.h</w:t>
            </w:r>
          </w:p>
        </w:tc>
        <w:tc>
          <w:tcPr>
            <w:tcW w:type="dxa" w:w="3312"/>
          </w:tcPr>
          <w:p>
            <w:r>
              <w:rPr>
                <w:b/>
              </w:rPr>
              <w:t>44</w:t>
            </w:r>
          </w:p>
        </w:tc>
        <w:tc>
          <w:tcPr>
            <w:tcW w:type="dxa" w:w="3312"/>
          </w:tcPr>
          <w:p>
            <w:r>
              <w:t>iOS only (os_log() shim for developer-mode logging)</w:t>
            </w:r>
          </w:p>
        </w:tc>
      </w:tr>
    </w:tbl>
    <w:p>
      <w:pPr>
        <w:spacing w:after="80"/>
      </w:pPr>
    </w:p>
    <w:p>
      <w:pPr>
        <w:pStyle w:val="Heading2"/>
      </w:pPr>
      <w:r>
        <w:t>Notes on Methodology</w:t>
      </w:r>
    </w:p>
    <w:p>
      <w:pPr>
        <w:spacing w:after="120"/>
      </w:pPr>
      <w:r>
        <w:rPr>
          <w:b/>
          <w:sz w:val="20"/>
        </w:rPr>
        <w:t xml:space="preserve">Source of truth. </w:t>
      </w:r>
      <w:r>
        <w:rPr>
          <w:sz w:val="20"/>
        </w:rPr>
        <w:t>All counts are physical lines (wc -l) over files returned by `git ls-files` in the final release — i.e. exactly what's tracked in version control, not an estimate or a build-tool report.</w:t>
      </w:r>
    </w:p>
    <w:p>
      <w:pPr>
        <w:spacing w:after="120"/>
      </w:pPr>
      <w:r>
        <w:rPr>
          <w:b/>
          <w:sz w:val="20"/>
        </w:rPr>
        <w:t xml:space="preserve">The native C layer is the one architectural wrinkle. </w:t>
      </w:r>
      <w:r>
        <w:rPr>
          <w:sz w:val="20"/>
        </w:rPr>
        <w:t>Most of this project's cross-platform logic is Kotlin, sharable via commonMain in the ordinary KMP way. The one exception is the real iperf3 client integration, written in C for performance/library-compatibility reasons. Its core logic (test lifecycle, threading, stall detection, output filtering) is written once and reached identically by JNI on Android/desktop and by Kotlin/Native cinterop on iOS — genuinely shared source, just not Kotlin source. Only the thin JNI glue and two per-OS config headers are truly single-platform.</w:t>
      </w:r>
    </w:p>
    <w:p>
      <w:pPr>
        <w:spacing w:after="120"/>
      </w:pPr>
      <w:r>
        <w:rPr>
          <w:b/>
          <w:sz w:val="20"/>
        </w:rPr>
        <w:t xml:space="preserve">Deliberately excluded from every row. </w:t>
      </w:r>
      <w:r>
        <w:rPr>
          <w:sz w:val="20"/>
        </w:rPr>
        <w:t>third_party/iperf (esnet's own upstream C source — not code this project wrote, so it says nothing about this project's own sharing discipline either way) and pure build/packaging configuration (*.gradle.kts, CMakeLists.txt, Info.plist, .pbxproj, Android XML resources, Room's generated schema JSON). None of that is shareable in any multi-platform project, KMP or otherwise, so including it would understate sharing without reflecting anything about the architecture.</w:t>
      </w:r>
    </w:p>
    <w:p>
      <w:pPr>
        <w:spacing w:after="120"/>
      </w:pPr>
      <w:r>
        <w:rPr>
          <w:b/>
          <w:sz w:val="20"/>
        </w:rPr>
        <w:t xml:space="preserve">Why three rows instead of one number. </w:t>
      </w:r>
      <w:r>
        <w:rPr>
          <w:sz w:val="20"/>
        </w:rPr>
        <w:t>The strictest, most conventional definition of "KMP code sharing" (production Kotlin only) gives the highest figure, 81.7% (down from 87.7% in August). Including tests and the native layer both pull the number down further, and 76.6% — the most inclusive, most conservative row — is the number this document has always said to cite if asked to defend the figure under scrutiny. That row is now below the 80% goal.</w:t>
      </w:r>
    </w:p>
    <w:p>
      <w:pPr>
        <w:pStyle w:val="Heading2"/>
      </w:pPr>
      <w:r>
        <w:t>What Changed Since August, and Why the Question Itself Is the Finding</w:t>
      </w:r>
    </w:p>
    <w:p>
      <w:r>
        <w:t>The August measurement and this one used the identical methodology (git ls-files, wc -l, the same three-row structure) against a codebase that kept growing in the interim. The drop is real, not a measurement artifact, and it is fully attributable: platform-specific code grew faster, proportionally, than commonMain did. Two developments account for essentially all of it.</w:t>
      </w:r>
    </w:p>
    <w:p>
      <w:pPr>
        <w:pStyle w:val="ListBullet"/>
      </w:pPr>
      <w:r>
        <w:rPr>
          <w:b/>
        </w:rPr>
        <w:t xml:space="preserve">Windows desktop support </w:t>
      </w:r>
      <w:r>
        <w:t>(see WINDOWS_DECISION_REVERSAL_CASE_STUDY.md): 247 net lines, confined entirely to jvmMain, implementing a ProcessBuilder-based execution path Windows needs that the other platforms don't. This alone was predicted, deliberately, before it was written — the prediction (≈89% → ≈86%) is close to what the isolated delta actually produced (88.3% → 85.7%, measured the same way as that document's own Section 5).</w:t>
      </w:r>
    </w:p>
    <w:p>
      <w:pPr>
        <w:pStyle w:val="ListBullet"/>
      </w:pPr>
      <w:r>
        <w:rPr>
          <w:b/>
        </w:rPr>
        <w:t xml:space="preserve">Developer-mode diagnostic logging: </w:t>
      </w:r>
      <w:r>
        <w:t>a small expect/actual Log utility, plus one native_log.h shim needed only because Kotlin/Native's own NSLog cinterop binding crashed for real on iOS (see project memory / commit history). Each platform's actual logging call is, correctly, platform-specific by nature (android.util.Log, println, os_log) - there was never going to be a way to share this particular kind of code, no matter how it was written.</w:t>
      </w:r>
    </w:p>
    <w:p>
      <w:r>
        <w:t>Both of these were legitimate engineering necessities, not architectural regressions - nobody wrote unnecessarily platform-specific code to hit a number. That's exactly what makes the resulting question hard to answer cleanly: is a KMP project that adds a real capability one platform genuinely needs and the others genuinely don't - like Windows's execution model, or a diagnostic logging call that's inherently platform-specific everywhere - still meeting an "80% shared" goal if the honest, most-conservative accounting says no? There is no methodology-independent answer to that question, and this document isn't attempting to manufacture one. What it can say is this: the three numbers above are all real, computed the same way each time, and the fact that they now straddle the goal instead of all clearing it comfortably is itself the more interesting result - a live example of a code-sharing metric meaning something different at a mature stage of a project than it did at an earlier one, even when nothing about how it's computed has changed.</w:t>
      </w:r>
    </w:p>
    <w:p>
      <w:r>
        <w:rPr>
          <w:i/>
        </w:rPr>
        <w:t>This section is deliberately left as an open question rather than a resolved verdict.</w:t>
      </w:r>
    </w:p>
    <w:p>
      <w:r>
        <w:t>There's a sharper version of this same tension worth stating plainly, not just implying: this app's high code-sharing percentage is partly a function of how uniform its UI was allowed to stay, not purely a measure of engineering discipline. The UI is entirely Compose Multiplatform text and form fields, formatted carefully but with no charts/graphs for visualizing results over time, and the desktop build is a Compose window, not a real desktop application - no native menu bar, no OS-integrated chrome, none of the platform-specific affordances a user would expect from an app built to feel native on that platform. A version of this app with real result-history graphs (almost certainly wanting a platform-native charting library on at least one target), a native macOS/Windows menu bar, or iOS- and Material-idiomatic navigation patterns instead of one shared screen layout would need meaningfully more platform-specific code - and would likely score lower on every row of the table above, possibly well below 80% on the most conservative one. That wouldn't be a worse app. It would be a more ambitious one, spending its platform-specific budget on native UI richness instead of holding it in reserve for a uniform cross-platform surface. The metric measures how much of the UI stayed uniform, not how good the UI is - and this project's number is high partly because it deliberately chose the former over investing more heavily in the latter.</w:t>
      </w:r>
    </w:p>
    <w:p>
      <w:pPr/>
      <w:r>
        <w:t>This suggests a broader thesis worth stating alongside the numbers, even though this document cannot fully test it alone: full commercial application development still requires a skilled, multi-disciplinary development team — iOS, Android, and desktop UI specialists among them, not just the native-systems engineering this project's own hardest work represents. AI assistance, frontier or local, is a genuine force multiplier for that team, as this project's development history documents in detail. But augmentation is not substitution: the scope of a real commercial release — richer, platform-idiomatic UI across three targets, and the breadth of manual verification a small team can parallelize and a single person cannot — appears to exceed what one human working with current AI tooling can produce or credibly validate alone. See the project retrospective’s Appendix H for the fuller discussion.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