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6"/>
        </w:rPr>
      </w:pPr>
    </w:p>
    <w:p>
      <w:pPr>
        <w:pStyle w:val="BodyText"/>
        <w:rPr>
          <w:sz w:val="36"/>
        </w:rPr>
      </w:pPr>
    </w:p>
    <w:p>
      <w:pPr>
        <w:pStyle w:val="BodyText"/>
        <w:rPr>
          <w:sz w:val="36"/>
        </w:rPr>
      </w:pPr>
    </w:p>
    <w:p>
      <w:pPr>
        <w:pStyle w:val="BodyText"/>
        <w:spacing w:before="150"/>
        <w:rPr>
          <w:sz w:val="36"/>
        </w:rPr>
      </w:pPr>
    </w:p>
    <w:p>
      <w:pPr>
        <w:pStyle w:val="Title"/>
        <w:spacing w:line="278" w:lineRule="auto"/>
      </w:pPr>
      <w:r>
        <w:rPr/>
        <w:t>MACEA</w:t>
      </w:r>
      <w:r>
        <w:rPr>
          <w:spacing w:val="-9"/>
        </w:rPr>
        <w:t> </w:t>
      </w:r>
      <w:r>
        <w:rPr/>
        <w:t>—</w:t>
      </w:r>
      <w:r>
        <w:rPr>
          <w:spacing w:val="-9"/>
        </w:rPr>
        <w:t> </w:t>
      </w:r>
      <w:r>
        <w:rPr/>
        <w:t>MULTI-AGENT</w:t>
      </w:r>
      <w:r>
        <w:rPr>
          <w:spacing w:val="-9"/>
        </w:rPr>
        <w:t> </w:t>
      </w:r>
      <w:r>
        <w:rPr/>
        <w:t>CIRCULAR</w:t>
      </w:r>
      <w:r>
        <w:rPr>
          <w:spacing w:val="-9"/>
        </w:rPr>
        <w:t> </w:t>
      </w:r>
      <w:r>
        <w:rPr/>
        <w:t>ECONOMY </w:t>
      </w:r>
      <w:r>
        <w:rPr>
          <w:spacing w:val="-2"/>
        </w:rPr>
        <w:t>AUDITOR</w:t>
      </w:r>
    </w:p>
    <w:p>
      <w:pPr>
        <w:pStyle w:val="BodyText"/>
        <w:rPr>
          <w:b/>
          <w:sz w:val="20"/>
        </w:rPr>
      </w:pPr>
    </w:p>
    <w:p>
      <w:pPr>
        <w:pStyle w:val="BodyText"/>
        <w:spacing w:before="21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990600</wp:posOffset>
                </wp:positionH>
                <wp:positionV relativeFrom="paragraph">
                  <wp:posOffset>297158</wp:posOffset>
                </wp:positionV>
                <wp:extent cx="557911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79110" cy="1270"/>
                        </a:xfrm>
                        <a:custGeom>
                          <a:avLst/>
                          <a:gdLst/>
                          <a:ahLst/>
                          <a:cxnLst/>
                          <a:rect l="l" t="t" r="r" b="b"/>
                          <a:pathLst>
                            <a:path w="5579110" h="0">
                              <a:moveTo>
                                <a:pt x="0" y="0"/>
                              </a:moveTo>
                              <a:lnTo>
                                <a:pt x="5578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23.398287pt;width:439.3pt;height:.1pt;mso-position-horizontal-relative:page;mso-position-vertical-relative:paragraph;z-index:-15728640;mso-wrap-distance-left:0;mso-wrap-distance-right:0" id="docshape2" coordorigin="1560,468" coordsize="8786,0" path="m1560,468l10346,468e" filled="false" stroked="true" strokeweight="1.5pt" strokecolor="#000000">
                <v:path arrowok="t"/>
                <v:stroke dashstyle="solid"/>
                <w10:wrap type="topAndBottom"/>
              </v:shape>
            </w:pict>
          </mc:Fallback>
        </mc:AlternateContent>
      </w:r>
    </w:p>
    <w:p>
      <w:pPr>
        <w:pStyle w:val="BodyText"/>
        <w:spacing w:before="155"/>
        <w:rPr>
          <w:b/>
          <w:sz w:val="26"/>
        </w:rPr>
      </w:pPr>
    </w:p>
    <w:p>
      <w:pPr>
        <w:spacing w:before="0"/>
        <w:ind w:left="0" w:right="0" w:firstLine="0"/>
        <w:jc w:val="center"/>
        <w:rPr>
          <w:sz w:val="26"/>
        </w:rPr>
      </w:pPr>
      <w:r>
        <w:rPr>
          <w:sz w:val="26"/>
        </w:rPr>
        <w:t>A Project </w:t>
      </w:r>
      <w:r>
        <w:rPr>
          <w:spacing w:val="-2"/>
          <w:sz w:val="26"/>
        </w:rPr>
        <w:t>Report</w:t>
      </w:r>
    </w:p>
    <w:p>
      <w:pPr>
        <w:pStyle w:val="BodyText"/>
        <w:spacing w:before="137"/>
        <w:rPr>
          <w:sz w:val="26"/>
        </w:rPr>
      </w:pPr>
    </w:p>
    <w:p>
      <w:pPr>
        <w:pStyle w:val="BodyText"/>
        <w:jc w:val="center"/>
      </w:pPr>
      <w:r>
        <w:rPr/>
        <w:t>Submitted for the </w:t>
      </w:r>
      <w:r>
        <w:rPr>
          <w:spacing w:val="-2"/>
        </w:rPr>
        <w:t>Course</w:t>
      </w:r>
    </w:p>
    <w:p>
      <w:pPr>
        <w:pStyle w:val="BodyText"/>
        <w:spacing w:before="112"/>
      </w:pPr>
    </w:p>
    <w:p>
      <w:pPr>
        <w:spacing w:before="0"/>
        <w:ind w:left="0" w:right="0" w:firstLine="0"/>
        <w:jc w:val="center"/>
        <w:rPr>
          <w:b/>
          <w:sz w:val="24"/>
        </w:rPr>
      </w:pPr>
      <w:r>
        <w:rPr>
          <w:b/>
          <w:sz w:val="24"/>
        </w:rPr>
        <w:t>Environment and </w:t>
      </w:r>
      <w:r>
        <w:rPr>
          <w:b/>
          <w:spacing w:val="-2"/>
          <w:sz w:val="24"/>
        </w:rPr>
        <w:t>Sustainability</w:t>
      </w:r>
    </w:p>
    <w:p>
      <w:pPr>
        <w:pStyle w:val="BodyText"/>
        <w:rPr>
          <w:b/>
        </w:rPr>
      </w:pPr>
    </w:p>
    <w:p>
      <w:pPr>
        <w:pStyle w:val="BodyText"/>
        <w:spacing w:before="268"/>
        <w:rPr>
          <w:b/>
        </w:rPr>
      </w:pPr>
    </w:p>
    <w:p>
      <w:pPr>
        <w:pStyle w:val="BodyText"/>
        <w:jc w:val="center"/>
      </w:pPr>
      <w:r>
        <w:rPr/>
        <w:t>Academic Year 2025–</w:t>
      </w:r>
      <w:r>
        <w:rPr>
          <w:spacing w:val="-5"/>
        </w:rPr>
        <w:t>26</w:t>
      </w:r>
    </w:p>
    <w:p>
      <w:pPr>
        <w:pStyle w:val="BodyText"/>
      </w:pPr>
    </w:p>
    <w:p>
      <w:pPr>
        <w:pStyle w:val="BodyText"/>
        <w:spacing w:before="124"/>
      </w:pPr>
    </w:p>
    <w:p>
      <w:pPr>
        <w:spacing w:before="0"/>
        <w:ind w:left="0" w:right="0" w:firstLine="0"/>
        <w:jc w:val="center"/>
        <w:rPr>
          <w:b/>
          <w:sz w:val="24"/>
        </w:rPr>
      </w:pPr>
      <w:r>
        <w:rPr>
          <w:b/>
          <w:sz w:val="24"/>
        </w:rPr>
        <w:t>Submitted </w:t>
      </w:r>
      <w:r>
        <w:rPr>
          <w:b/>
          <w:spacing w:val="-5"/>
          <w:sz w:val="24"/>
        </w:rPr>
        <w:t>By</w:t>
      </w:r>
    </w:p>
    <w:p>
      <w:pPr>
        <w:pStyle w:val="BodyText"/>
        <w:spacing w:before="132"/>
        <w:rPr>
          <w:b/>
          <w:sz w:val="20"/>
        </w:rPr>
      </w:pPr>
    </w:p>
    <w:tbl>
      <w:tblPr>
        <w:tblW w:w="0" w:type="auto"/>
        <w:jc w:val="left"/>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08"/>
        <w:gridCol w:w="4608"/>
      </w:tblGrid>
      <w:tr>
        <w:trPr>
          <w:trHeight w:val="625" w:hRule="atLeast"/>
        </w:trPr>
        <w:tc>
          <w:tcPr>
            <w:tcW w:w="4608" w:type="dxa"/>
            <w:tcBorders>
              <w:bottom w:val="single" w:sz="4" w:space="0" w:color="808080"/>
              <w:right w:val="single" w:sz="4" w:space="0" w:color="808080"/>
            </w:tcBorders>
            <w:shd w:val="clear" w:color="auto" w:fill="1D5631"/>
          </w:tcPr>
          <w:p>
            <w:pPr>
              <w:pStyle w:val="TableParagraph"/>
              <w:spacing w:before="146"/>
              <w:ind w:left="25" w:right="10"/>
              <w:jc w:val="center"/>
              <w:rPr>
                <w:b/>
                <w:sz w:val="24"/>
              </w:rPr>
            </w:pPr>
            <w:r>
              <w:rPr>
                <w:b/>
                <w:spacing w:val="-4"/>
                <w:sz w:val="24"/>
              </w:rPr>
              <w:t>Name</w:t>
            </w:r>
          </w:p>
        </w:tc>
        <w:tc>
          <w:tcPr>
            <w:tcW w:w="4608" w:type="dxa"/>
            <w:tcBorders>
              <w:left w:val="single" w:sz="4" w:space="0" w:color="808080"/>
              <w:bottom w:val="single" w:sz="4" w:space="0" w:color="808080"/>
            </w:tcBorders>
            <w:shd w:val="clear" w:color="auto" w:fill="1D5631"/>
          </w:tcPr>
          <w:p>
            <w:pPr>
              <w:pStyle w:val="TableParagraph"/>
              <w:spacing w:before="146"/>
              <w:ind w:left="25"/>
              <w:jc w:val="center"/>
              <w:rPr>
                <w:b/>
                <w:sz w:val="24"/>
              </w:rPr>
            </w:pPr>
            <w:r>
              <w:rPr>
                <w:b/>
                <w:spacing w:val="-5"/>
                <w:sz w:val="24"/>
              </w:rPr>
              <w:t>USN</w:t>
            </w:r>
          </w:p>
        </w:tc>
      </w:tr>
      <w:tr>
        <w:trPr>
          <w:trHeight w:val="630" w:hRule="atLeast"/>
        </w:trPr>
        <w:tc>
          <w:tcPr>
            <w:tcW w:w="4608" w:type="dxa"/>
            <w:tcBorders>
              <w:top w:val="single" w:sz="4" w:space="0" w:color="808080"/>
              <w:bottom w:val="single" w:sz="4" w:space="0" w:color="808080"/>
              <w:right w:val="single" w:sz="4" w:space="0" w:color="808080"/>
            </w:tcBorders>
            <w:shd w:val="clear" w:color="auto" w:fill="E8F4E8"/>
          </w:tcPr>
          <w:p>
            <w:pPr>
              <w:pStyle w:val="TableParagraph"/>
              <w:spacing w:before="151"/>
              <w:ind w:left="25" w:right="10"/>
              <w:jc w:val="center"/>
              <w:rPr>
                <w:sz w:val="24"/>
              </w:rPr>
            </w:pPr>
            <w:r>
              <w:rPr>
                <w:sz w:val="24"/>
              </w:rPr>
              <w:t>Anurag G </w:t>
            </w:r>
            <w:r>
              <w:rPr>
                <w:spacing w:val="-2"/>
                <w:sz w:val="24"/>
              </w:rPr>
              <w:t>Kharvi</w:t>
            </w:r>
          </w:p>
        </w:tc>
        <w:tc>
          <w:tcPr>
            <w:tcW w:w="4608" w:type="dxa"/>
            <w:tcBorders>
              <w:top w:val="single" w:sz="4" w:space="0" w:color="808080"/>
              <w:left w:val="single" w:sz="4" w:space="0" w:color="808080"/>
              <w:bottom w:val="single" w:sz="4" w:space="0" w:color="808080"/>
            </w:tcBorders>
            <w:shd w:val="clear" w:color="auto" w:fill="E8F4E8"/>
          </w:tcPr>
          <w:p>
            <w:pPr>
              <w:pStyle w:val="TableParagraph"/>
              <w:spacing w:before="151"/>
              <w:ind w:left="25"/>
              <w:jc w:val="center"/>
              <w:rPr>
                <w:sz w:val="24"/>
              </w:rPr>
            </w:pPr>
            <w:r>
              <w:rPr>
                <w:spacing w:val="-2"/>
                <w:sz w:val="24"/>
              </w:rPr>
              <w:t>1RV24CD010</w:t>
            </w:r>
          </w:p>
        </w:tc>
      </w:tr>
      <w:tr>
        <w:trPr>
          <w:trHeight w:val="629" w:hRule="atLeast"/>
        </w:trPr>
        <w:tc>
          <w:tcPr>
            <w:tcW w:w="4608" w:type="dxa"/>
            <w:tcBorders>
              <w:top w:val="single" w:sz="4" w:space="0" w:color="808080"/>
              <w:bottom w:val="single" w:sz="4" w:space="0" w:color="808080"/>
              <w:right w:val="single" w:sz="4" w:space="0" w:color="808080"/>
            </w:tcBorders>
            <w:shd w:val="clear" w:color="auto" w:fill="F4FBF4"/>
          </w:tcPr>
          <w:p>
            <w:pPr>
              <w:pStyle w:val="TableParagraph"/>
              <w:spacing w:before="151"/>
              <w:ind w:left="25" w:right="10"/>
              <w:jc w:val="center"/>
              <w:rPr>
                <w:sz w:val="24"/>
              </w:rPr>
            </w:pPr>
            <w:r>
              <w:rPr>
                <w:spacing w:val="-2"/>
                <w:sz w:val="24"/>
              </w:rPr>
              <w:t>Dinesh</w:t>
            </w:r>
          </w:p>
        </w:tc>
        <w:tc>
          <w:tcPr>
            <w:tcW w:w="4608" w:type="dxa"/>
            <w:tcBorders>
              <w:top w:val="single" w:sz="4" w:space="0" w:color="808080"/>
              <w:left w:val="single" w:sz="4" w:space="0" w:color="808080"/>
              <w:bottom w:val="single" w:sz="4" w:space="0" w:color="808080"/>
            </w:tcBorders>
            <w:shd w:val="clear" w:color="auto" w:fill="F4FBF4"/>
          </w:tcPr>
          <w:p>
            <w:pPr>
              <w:pStyle w:val="TableParagraph"/>
              <w:spacing w:before="151"/>
              <w:ind w:left="25"/>
              <w:jc w:val="center"/>
              <w:rPr>
                <w:sz w:val="24"/>
              </w:rPr>
            </w:pPr>
            <w:r>
              <w:rPr>
                <w:spacing w:val="-2"/>
                <w:sz w:val="24"/>
              </w:rPr>
              <w:t>1RV24CD021</w:t>
            </w:r>
          </w:p>
        </w:tc>
      </w:tr>
      <w:tr>
        <w:trPr>
          <w:trHeight w:val="630" w:hRule="atLeast"/>
        </w:trPr>
        <w:tc>
          <w:tcPr>
            <w:tcW w:w="4608" w:type="dxa"/>
            <w:tcBorders>
              <w:top w:val="single" w:sz="4" w:space="0" w:color="808080"/>
              <w:bottom w:val="single" w:sz="4" w:space="0" w:color="808080"/>
              <w:right w:val="single" w:sz="4" w:space="0" w:color="808080"/>
            </w:tcBorders>
            <w:shd w:val="clear" w:color="auto" w:fill="E8F4E8"/>
          </w:tcPr>
          <w:p>
            <w:pPr>
              <w:pStyle w:val="TableParagraph"/>
              <w:spacing w:before="151"/>
              <w:ind w:left="25" w:right="11"/>
              <w:jc w:val="center"/>
              <w:rPr>
                <w:sz w:val="24"/>
              </w:rPr>
            </w:pPr>
            <w:r>
              <w:rPr>
                <w:sz w:val="24"/>
              </w:rPr>
              <w:t>Abhinav </w:t>
            </w:r>
            <w:r>
              <w:rPr>
                <w:spacing w:val="-2"/>
                <w:sz w:val="24"/>
              </w:rPr>
              <w:t>Mallela</w:t>
            </w:r>
          </w:p>
        </w:tc>
        <w:tc>
          <w:tcPr>
            <w:tcW w:w="4608" w:type="dxa"/>
            <w:tcBorders>
              <w:top w:val="single" w:sz="4" w:space="0" w:color="808080"/>
              <w:left w:val="single" w:sz="4" w:space="0" w:color="808080"/>
              <w:bottom w:val="single" w:sz="4" w:space="0" w:color="808080"/>
            </w:tcBorders>
            <w:shd w:val="clear" w:color="auto" w:fill="E8F4E8"/>
          </w:tcPr>
          <w:p>
            <w:pPr>
              <w:pStyle w:val="TableParagraph"/>
              <w:spacing w:before="151"/>
              <w:ind w:left="25"/>
              <w:jc w:val="center"/>
              <w:rPr>
                <w:sz w:val="24"/>
              </w:rPr>
            </w:pPr>
            <w:r>
              <w:rPr>
                <w:spacing w:val="-2"/>
                <w:sz w:val="24"/>
              </w:rPr>
              <w:t>1RV24CI006</w:t>
            </w:r>
          </w:p>
        </w:tc>
      </w:tr>
      <w:tr>
        <w:trPr>
          <w:trHeight w:val="630" w:hRule="atLeast"/>
        </w:trPr>
        <w:tc>
          <w:tcPr>
            <w:tcW w:w="4608" w:type="dxa"/>
            <w:tcBorders>
              <w:top w:val="single" w:sz="4" w:space="0" w:color="808080"/>
              <w:bottom w:val="single" w:sz="4" w:space="0" w:color="808080"/>
              <w:right w:val="single" w:sz="4" w:space="0" w:color="808080"/>
            </w:tcBorders>
            <w:shd w:val="clear" w:color="auto" w:fill="F4FBF4"/>
          </w:tcPr>
          <w:p>
            <w:pPr>
              <w:pStyle w:val="TableParagraph"/>
              <w:spacing w:before="151"/>
              <w:ind w:left="25" w:right="11"/>
              <w:jc w:val="center"/>
              <w:rPr>
                <w:sz w:val="24"/>
              </w:rPr>
            </w:pPr>
            <w:r>
              <w:rPr>
                <w:sz w:val="24"/>
              </w:rPr>
              <w:t>Aprameya M </w:t>
            </w:r>
            <w:r>
              <w:rPr>
                <w:spacing w:val="-2"/>
                <w:sz w:val="24"/>
              </w:rPr>
              <w:t>Yelanduru</w:t>
            </w:r>
          </w:p>
        </w:tc>
        <w:tc>
          <w:tcPr>
            <w:tcW w:w="4608" w:type="dxa"/>
            <w:tcBorders>
              <w:top w:val="single" w:sz="4" w:space="0" w:color="808080"/>
              <w:left w:val="single" w:sz="4" w:space="0" w:color="808080"/>
              <w:bottom w:val="single" w:sz="4" w:space="0" w:color="808080"/>
            </w:tcBorders>
            <w:shd w:val="clear" w:color="auto" w:fill="F4FBF4"/>
          </w:tcPr>
          <w:p>
            <w:pPr>
              <w:pStyle w:val="TableParagraph"/>
              <w:spacing w:before="151"/>
              <w:ind w:left="25"/>
              <w:jc w:val="center"/>
              <w:rPr>
                <w:sz w:val="24"/>
              </w:rPr>
            </w:pPr>
            <w:r>
              <w:rPr>
                <w:spacing w:val="-2"/>
                <w:sz w:val="24"/>
              </w:rPr>
              <w:t>1RV24CI021</w:t>
            </w:r>
          </w:p>
        </w:tc>
      </w:tr>
      <w:tr>
        <w:trPr>
          <w:trHeight w:val="625" w:hRule="atLeast"/>
        </w:trPr>
        <w:tc>
          <w:tcPr>
            <w:tcW w:w="4608" w:type="dxa"/>
            <w:tcBorders>
              <w:top w:val="single" w:sz="4" w:space="0" w:color="808080"/>
              <w:right w:val="single" w:sz="4" w:space="0" w:color="808080"/>
            </w:tcBorders>
            <w:shd w:val="clear" w:color="auto" w:fill="E8F4E8"/>
          </w:tcPr>
          <w:p>
            <w:pPr>
              <w:pStyle w:val="TableParagraph"/>
              <w:spacing w:before="151"/>
              <w:ind w:left="25" w:right="11"/>
              <w:jc w:val="center"/>
              <w:rPr>
                <w:sz w:val="24"/>
              </w:rPr>
            </w:pPr>
            <w:r>
              <w:rPr>
                <w:spacing w:val="-2"/>
                <w:sz w:val="24"/>
              </w:rPr>
              <w:t>Jerome</w:t>
            </w:r>
          </w:p>
        </w:tc>
        <w:tc>
          <w:tcPr>
            <w:tcW w:w="4608" w:type="dxa"/>
            <w:tcBorders>
              <w:top w:val="single" w:sz="4" w:space="0" w:color="808080"/>
              <w:left w:val="single" w:sz="4" w:space="0" w:color="808080"/>
            </w:tcBorders>
            <w:shd w:val="clear" w:color="auto" w:fill="E8F4E8"/>
          </w:tcPr>
          <w:p>
            <w:pPr>
              <w:pStyle w:val="TableParagraph"/>
              <w:spacing w:before="151"/>
              <w:ind w:left="25"/>
              <w:jc w:val="center"/>
              <w:rPr>
                <w:sz w:val="24"/>
              </w:rPr>
            </w:pPr>
            <w:r>
              <w:rPr>
                <w:spacing w:val="-2"/>
                <w:sz w:val="24"/>
              </w:rPr>
              <w:t>1RV24CI043</w:t>
            </w:r>
          </w:p>
        </w:tc>
      </w:tr>
    </w:tbl>
    <w:p>
      <w:pPr>
        <w:pStyle w:val="BodyText"/>
        <w:rPr>
          <w:b/>
          <w:sz w:val="20"/>
        </w:rPr>
      </w:pPr>
    </w:p>
    <w:p>
      <w:pPr>
        <w:pStyle w:val="BodyText"/>
        <w:spacing w:before="113"/>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990600</wp:posOffset>
                </wp:positionH>
                <wp:positionV relativeFrom="paragraph">
                  <wp:posOffset>233057</wp:posOffset>
                </wp:positionV>
                <wp:extent cx="557911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18.350977pt;width:439.3pt;height:.1pt;mso-position-horizontal-relative:page;mso-position-vertical-relative:paragraph;z-index:-15728128;mso-wrap-distance-left:0;mso-wrap-distance-right:0" id="docshape3" coordorigin="1560,367" coordsize="8786,0" path="m1560,367l10346,367e" filled="false" stroked="true" strokeweight=".5pt" strokecolor="#000000">
                <v:path arrowok="t"/>
                <v:stroke dashstyle="solid"/>
                <w10:wrap type="topAndBottom"/>
              </v:shape>
            </w:pict>
          </mc:Fallback>
        </mc:AlternateContent>
      </w:r>
    </w:p>
    <w:p>
      <w:pPr>
        <w:pStyle w:val="BodyText"/>
        <w:spacing w:before="42"/>
        <w:rPr>
          <w:b/>
        </w:rPr>
      </w:pPr>
    </w:p>
    <w:p>
      <w:pPr>
        <w:pStyle w:val="BodyText"/>
        <w:spacing w:before="1"/>
        <w:jc w:val="center"/>
      </w:pPr>
      <w:r>
        <w:rPr/>
        <w:t>Department of Computer Science and </w:t>
      </w:r>
      <w:r>
        <w:rPr>
          <w:spacing w:val="-2"/>
        </w:rPr>
        <w:t>Engineering</w:t>
      </w:r>
    </w:p>
    <w:p>
      <w:pPr>
        <w:pStyle w:val="BodyText"/>
        <w:spacing w:after="0"/>
        <w:jc w:val="center"/>
        <w:sectPr>
          <w:footerReference w:type="default" r:id="rId5"/>
          <w:type w:val="continuous"/>
          <w:pgSz w:w="11910" w:h="16840"/>
          <w:pgMar w:header="0" w:footer="626" w:top="1920" w:bottom="820" w:left="1275" w:right="1275"/>
          <w:pgNumType w:start="1"/>
        </w:sectPr>
      </w:pPr>
    </w:p>
    <w:p>
      <w:pPr>
        <w:pStyle w:val="Heading1"/>
      </w:pPr>
      <w:bookmarkStart w:name="_TOC_250028" w:id="1"/>
      <w:bookmarkEnd w:id="1"/>
      <w:r>
        <w:rPr>
          <w:spacing w:val="-2"/>
        </w:rPr>
        <w:t>ABSTRACT</w:t>
      </w:r>
    </w:p>
    <w:p>
      <w:pPr>
        <w:pStyle w:val="BodyText"/>
        <w:spacing w:before="17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990600</wp:posOffset>
                </wp:positionH>
                <wp:positionV relativeFrom="paragraph">
                  <wp:posOffset>273196</wp:posOffset>
                </wp:positionV>
                <wp:extent cx="557911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21.511568pt;width:439.3pt;height:.1pt;mso-position-horizontal-relative:page;mso-position-vertical-relative:paragraph;z-index:-15727616;mso-wrap-distance-left:0;mso-wrap-distance-right:0" id="docshape4" coordorigin="1560,430" coordsize="8786,0" path="m1560,430l10346,430e" filled="false" stroked="true" strokeweight=".5pt" strokecolor="#000000">
                <v:path arrowok="t"/>
                <v:stroke dashstyle="solid"/>
                <w10:wrap type="topAndBottom"/>
              </v:shape>
            </w:pict>
          </mc:Fallback>
        </mc:AlternateContent>
      </w:r>
    </w:p>
    <w:p>
      <w:pPr>
        <w:pStyle w:val="BodyText"/>
        <w:spacing w:before="42"/>
        <w:rPr>
          <w:b/>
        </w:rPr>
      </w:pPr>
    </w:p>
    <w:p>
      <w:pPr>
        <w:pStyle w:val="BodyText"/>
        <w:spacing w:line="312" w:lineRule="auto" w:before="1"/>
        <w:ind w:left="285" w:right="283"/>
        <w:jc w:val="both"/>
      </w:pPr>
      <w:r>
        <w:rPr/>
        <w:t>The</w:t>
      </w:r>
      <w:r>
        <w:rPr>
          <w:spacing w:val="40"/>
        </w:rPr>
        <w:t> </w:t>
      </w:r>
      <w:r>
        <w:rPr/>
        <w:t>global</w:t>
      </w:r>
      <w:r>
        <w:rPr>
          <w:spacing w:val="40"/>
        </w:rPr>
        <w:t> </w:t>
      </w:r>
      <w:r>
        <w:rPr/>
        <w:t>transition</w:t>
      </w:r>
      <w:r>
        <w:rPr>
          <w:spacing w:val="40"/>
        </w:rPr>
        <w:t> </w:t>
      </w:r>
      <w:r>
        <w:rPr/>
        <w:t>toward</w:t>
      </w:r>
      <w:r>
        <w:rPr>
          <w:spacing w:val="40"/>
        </w:rPr>
        <w:t> </w:t>
      </w:r>
      <w:r>
        <w:rPr/>
        <w:t>a</w:t>
      </w:r>
      <w:r>
        <w:rPr>
          <w:spacing w:val="40"/>
        </w:rPr>
        <w:t> </w:t>
      </w:r>
      <w:r>
        <w:rPr/>
        <w:t>circular</w:t>
      </w:r>
      <w:r>
        <w:rPr>
          <w:spacing w:val="40"/>
        </w:rPr>
        <w:t> </w:t>
      </w:r>
      <w:r>
        <w:rPr/>
        <w:t>economy</w:t>
      </w:r>
      <w:r>
        <w:rPr>
          <w:spacing w:val="40"/>
        </w:rPr>
        <w:t> </w:t>
      </w:r>
      <w:r>
        <w:rPr/>
        <w:t>demands</w:t>
      </w:r>
      <w:r>
        <w:rPr>
          <w:spacing w:val="40"/>
        </w:rPr>
        <w:t> </w:t>
      </w:r>
      <w:r>
        <w:rPr/>
        <w:t>rigorous,</w:t>
      </w:r>
      <w:r>
        <w:rPr>
          <w:spacing w:val="40"/>
        </w:rPr>
        <w:t> </w:t>
      </w:r>
      <w:r>
        <w:rPr/>
        <w:t>automated,</w:t>
      </w:r>
      <w:r>
        <w:rPr>
          <w:spacing w:val="40"/>
        </w:rPr>
        <w:t> </w:t>
      </w:r>
      <w:r>
        <w:rPr/>
        <w:t>and multi-dimensional assessment tools capable of evaluating products, supply chains, and manufacturing processes across environmental, regulatory, and sustainability dimensions simultaneously. MACEA — the Multi-Agent Circular Economy Auditor — addresses this need by orchestrating six specialised artificial intelligence agents in a parallel multi-agent framework</w:t>
      </w:r>
      <w:r>
        <w:rPr>
          <w:spacing w:val="-2"/>
        </w:rPr>
        <w:t> </w:t>
      </w:r>
      <w:r>
        <w:rPr/>
        <w:t>powered</w:t>
      </w:r>
      <w:r>
        <w:rPr>
          <w:spacing w:val="-2"/>
        </w:rPr>
        <w:t> </w:t>
      </w:r>
      <w:r>
        <w:rPr/>
        <w:t>by</w:t>
      </w:r>
      <w:r>
        <w:rPr>
          <w:spacing w:val="-2"/>
        </w:rPr>
        <w:t> </w:t>
      </w:r>
      <w:r>
        <w:rPr/>
        <w:t>the</w:t>
      </w:r>
      <w:r>
        <w:rPr>
          <w:spacing w:val="-2"/>
        </w:rPr>
        <w:t> </w:t>
      </w:r>
      <w:r>
        <w:rPr/>
        <w:t>Groq</w:t>
      </w:r>
      <w:r>
        <w:rPr>
          <w:spacing w:val="-2"/>
        </w:rPr>
        <w:t> </w:t>
      </w:r>
      <w:r>
        <w:rPr/>
        <w:t>inference</w:t>
      </w:r>
      <w:r>
        <w:rPr>
          <w:spacing w:val="-2"/>
        </w:rPr>
        <w:t> </w:t>
      </w:r>
      <w:r>
        <w:rPr/>
        <w:t>engine.</w:t>
      </w:r>
      <w:r>
        <w:rPr>
          <w:spacing w:val="-2"/>
        </w:rPr>
        <w:t> </w:t>
      </w:r>
      <w:r>
        <w:rPr/>
        <w:t>Each</w:t>
      </w:r>
      <w:r>
        <w:rPr>
          <w:spacing w:val="-2"/>
        </w:rPr>
        <w:t> </w:t>
      </w:r>
      <w:r>
        <w:rPr/>
        <w:t>agent</w:t>
      </w:r>
      <w:r>
        <w:rPr>
          <w:spacing w:val="-2"/>
        </w:rPr>
        <w:t> </w:t>
      </w:r>
      <w:r>
        <w:rPr/>
        <w:t>is</w:t>
      </w:r>
      <w:r>
        <w:rPr>
          <w:spacing w:val="-2"/>
        </w:rPr>
        <w:t> </w:t>
      </w:r>
      <w:r>
        <w:rPr/>
        <w:t>independently</w:t>
      </w:r>
      <w:r>
        <w:rPr>
          <w:spacing w:val="-2"/>
        </w:rPr>
        <w:t> </w:t>
      </w:r>
      <w:r>
        <w:rPr/>
        <w:t>responsible for a distinct audit dimension: material flow mapping, lifecycle assessment (LCA) scoring, circularity gap evaluation against the 10R waste hierarchy, industrial symbiosis identification, ISO 14000 compliance gap analysis, and United Nations Sustainable Development Goal (SDG) alignment scoring. The agents deliberate on their respective findings, surface conflicts, and synthesise a unified audit report. The system is delivered as a full-stack web application comprising a FastAPI backend and a React frontend</w:t>
      </w:r>
      <w:r>
        <w:rPr>
          <w:spacing w:val="40"/>
        </w:rPr>
        <w:t> </w:t>
      </w:r>
      <w:r>
        <w:rPr/>
        <w:t>dashboard, enabling real-time audit execution and interactive result visualisation. MACEA demonstrates that multi-agent architectures can substantially reduce the time and expertise overhead required for comprehensive circular economy assessments while maintaining the depth expected of domain specialists. The framework is extensible, supporting dynamic API key reloading and modular agent replacement, making it suitable for deployment in both research and industrial settings.</w:t>
      </w:r>
    </w:p>
    <w:p>
      <w:pPr>
        <w:pStyle w:val="BodyText"/>
      </w:pPr>
    </w:p>
    <w:p>
      <w:pPr>
        <w:pStyle w:val="BodyText"/>
        <w:spacing w:before="142"/>
      </w:pPr>
    </w:p>
    <w:p>
      <w:pPr>
        <w:pStyle w:val="BodyText"/>
        <w:spacing w:line="312" w:lineRule="auto"/>
        <w:ind w:left="285" w:right="283"/>
        <w:jc w:val="both"/>
      </w:pPr>
      <w:r>
        <w:rPr>
          <w:b/>
        </w:rPr>
        <w:t>Keywords: </w:t>
      </w:r>
      <w:r>
        <w:rPr/>
        <w:t>Circular Economy, Multi-Agent System, Lifecycle Assessment, ISO </w:t>
      </w:r>
      <w:r>
        <w:rPr/>
        <w:t>14000, Industrial Ecology, Groq, FastAPI, React, Sustainable Development Goals, 10R </w:t>
      </w:r>
      <w:r>
        <w:rPr>
          <w:spacing w:val="-2"/>
        </w:rPr>
        <w:t>Framework.</w:t>
      </w:r>
    </w:p>
    <w:p>
      <w:pPr>
        <w:pStyle w:val="BodyText"/>
        <w:spacing w:after="0" w:line="312" w:lineRule="auto"/>
        <w:jc w:val="both"/>
        <w:sectPr>
          <w:pgSz w:w="11910" w:h="16840"/>
          <w:pgMar w:header="0" w:footer="626" w:top="1500" w:bottom="820" w:left="1275" w:right="1275"/>
        </w:sectPr>
      </w:pPr>
    </w:p>
    <w:p>
      <w:pPr>
        <w:pStyle w:val="Heading1"/>
      </w:pPr>
      <w:bookmarkStart w:name="_TOC_250027" w:id="2"/>
      <w:r>
        <w:rPr/>
        <w:t>TABLE OF </w:t>
      </w:r>
      <w:bookmarkEnd w:id="2"/>
      <w:r>
        <w:rPr>
          <w:spacing w:val="-2"/>
        </w:rPr>
        <w:t>CONTENTS</w:t>
      </w:r>
    </w:p>
    <w:p>
      <w:pPr>
        <w:pStyle w:val="Heading1"/>
        <w:spacing w:after="0"/>
        <w:sectPr>
          <w:pgSz w:w="11910" w:h="16840"/>
          <w:pgMar w:header="0" w:footer="626" w:top="1500" w:bottom="1967" w:left="1275" w:right="1275"/>
        </w:sectPr>
      </w:pPr>
    </w:p>
    <w:sdt>
      <w:sdtPr>
        <w:docPartObj>
          <w:docPartGallery w:val="Table of Contents"/>
          <w:docPartUnique/>
        </w:docPartObj>
      </w:sdtPr>
      <w:sdtEndPr/>
      <w:sdtContent>
        <w:p>
          <w:pPr>
            <w:pStyle w:val="TOC1"/>
            <w:tabs>
              <w:tab w:pos="8675" w:val="right" w:leader="none"/>
            </w:tabs>
            <w:spacing w:before="794"/>
          </w:pPr>
          <w:r>
            <w:rPr/>
            <mc:AlternateContent>
              <mc:Choice Requires="wps">
                <w:drawing>
                  <wp:anchor distT="0" distB="0" distL="0" distR="0" allowOverlap="1" layoutInCell="1" locked="0" behindDoc="0" simplePos="0" relativeHeight="15730176">
                    <wp:simplePos x="0" y="0"/>
                    <wp:positionH relativeFrom="page">
                      <wp:posOffset>990600</wp:posOffset>
                    </wp:positionH>
                    <wp:positionV relativeFrom="paragraph">
                      <wp:posOffset>273196</wp:posOffset>
                    </wp:positionV>
                    <wp:extent cx="557911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8pt,21.511568pt" to="517.275600pt,21.511568pt" stroked="true" strokeweight=".5pt" strokecolor="#000000">
                    <v:stroke dashstyle="solid"/>
                    <w10:wrap type="none"/>
                  </v:line>
                </w:pict>
              </mc:Fallback>
            </mc:AlternateContent>
          </w:r>
          <w:hyperlink w:history="true" w:anchor="_TOC_250028">
            <w:r>
              <w:rPr>
                <w:spacing w:val="-2"/>
              </w:rPr>
              <w:t>Abstract</w:t>
            </w:r>
            <w:r>
              <w:rPr/>
              <w:tab/>
            </w:r>
            <w:r>
              <w:rPr>
                <w:spacing w:val="-5"/>
              </w:rPr>
              <w:t>ii</w:t>
            </w:r>
          </w:hyperlink>
        </w:p>
        <w:p>
          <w:pPr>
            <w:pStyle w:val="TOC1"/>
            <w:tabs>
              <w:tab w:pos="8741" w:val="right" w:leader="none"/>
            </w:tabs>
          </w:pPr>
          <w:hyperlink w:history="true" w:anchor="_TOC_250027">
            <w:r>
              <w:rPr/>
              <w:t>Table of </w:t>
            </w:r>
            <w:r>
              <w:rPr>
                <w:spacing w:val="-2"/>
              </w:rPr>
              <w:t>Contents</w:t>
            </w:r>
            <w:r>
              <w:rPr/>
              <w:tab/>
            </w:r>
            <w:r>
              <w:rPr>
                <w:spacing w:val="-5"/>
              </w:rPr>
              <w:t>iii</w:t>
            </w:r>
          </w:hyperlink>
        </w:p>
        <w:p>
          <w:pPr>
            <w:pStyle w:val="TOC1"/>
            <w:tabs>
              <w:tab w:pos="8728" w:val="right" w:leader="none"/>
            </w:tabs>
          </w:pPr>
          <w:hyperlink w:history="true" w:anchor="_TOC_250026">
            <w:r>
              <w:rPr/>
              <w:t>List of </w:t>
            </w:r>
            <w:r>
              <w:rPr>
                <w:spacing w:val="-2"/>
              </w:rPr>
              <w:t>Figures</w:t>
            </w:r>
            <w:r>
              <w:rPr/>
              <w:tab/>
            </w:r>
            <w:r>
              <w:rPr>
                <w:spacing w:val="-5"/>
              </w:rPr>
              <w:t>iv</w:t>
            </w:r>
          </w:hyperlink>
        </w:p>
        <w:p>
          <w:pPr>
            <w:pStyle w:val="TOC1"/>
            <w:tabs>
              <w:tab w:pos="8661" w:val="right" w:leader="none"/>
            </w:tabs>
          </w:pPr>
          <w:hyperlink w:history="true" w:anchor="_TOC_250025">
            <w:r>
              <w:rPr/>
              <w:t>CHAPTER 1 — </w:t>
            </w:r>
            <w:r>
              <w:rPr>
                <w:spacing w:val="-2"/>
              </w:rPr>
              <w:t>Introduction</w:t>
            </w:r>
            <w:r>
              <w:rPr/>
              <w:tab/>
            </w:r>
            <w:r>
              <w:rPr>
                <w:spacing w:val="-10"/>
              </w:rPr>
              <w:t>1</w:t>
            </w:r>
          </w:hyperlink>
        </w:p>
        <w:p>
          <w:pPr>
            <w:pStyle w:val="TOC2"/>
            <w:numPr>
              <w:ilvl w:val="1"/>
              <w:numId w:val="1"/>
            </w:numPr>
            <w:tabs>
              <w:tab w:pos="549" w:val="left" w:leader="none"/>
              <w:tab w:pos="8661" w:val="right" w:leader="none"/>
            </w:tabs>
            <w:spacing w:line="240" w:lineRule="auto" w:before="164" w:after="0"/>
            <w:ind w:left="549" w:right="0" w:hanging="360"/>
            <w:jc w:val="left"/>
          </w:pPr>
          <w:hyperlink w:history="true" w:anchor="_TOC_250024">
            <w:r>
              <w:rPr/>
              <w:t>Background and </w:t>
            </w:r>
            <w:r>
              <w:rPr>
                <w:spacing w:val="-2"/>
              </w:rPr>
              <w:t>Motivation</w:t>
            </w:r>
            <w:r>
              <w:rPr/>
              <w:tab/>
            </w:r>
            <w:r>
              <w:rPr>
                <w:spacing w:val="-10"/>
              </w:rPr>
              <w:t>1</w:t>
            </w:r>
          </w:hyperlink>
        </w:p>
        <w:p>
          <w:pPr>
            <w:pStyle w:val="TOC2"/>
            <w:numPr>
              <w:ilvl w:val="1"/>
              <w:numId w:val="1"/>
            </w:numPr>
            <w:tabs>
              <w:tab w:pos="549" w:val="left" w:leader="none"/>
              <w:tab w:pos="8661" w:val="right" w:leader="none"/>
            </w:tabs>
            <w:spacing w:line="240" w:lineRule="auto" w:before="164" w:after="0"/>
            <w:ind w:left="549" w:right="0" w:hanging="360"/>
            <w:jc w:val="left"/>
          </w:pPr>
          <w:hyperlink w:history="true" w:anchor="_TOC_250023">
            <w:r>
              <w:rPr/>
              <w:t>Problem </w:t>
            </w:r>
            <w:r>
              <w:rPr>
                <w:spacing w:val="-2"/>
              </w:rPr>
              <w:t>Statement</w:t>
            </w:r>
            <w:r>
              <w:rPr/>
              <w:tab/>
            </w:r>
            <w:r>
              <w:rPr>
                <w:spacing w:val="-10"/>
              </w:rPr>
              <w:t>2</w:t>
            </w:r>
          </w:hyperlink>
        </w:p>
        <w:p>
          <w:pPr>
            <w:pStyle w:val="TOC2"/>
            <w:numPr>
              <w:ilvl w:val="1"/>
              <w:numId w:val="1"/>
            </w:numPr>
            <w:tabs>
              <w:tab w:pos="549" w:val="left" w:leader="none"/>
              <w:tab w:pos="8661" w:val="right" w:leader="none"/>
            </w:tabs>
            <w:spacing w:line="240" w:lineRule="auto" w:before="164" w:after="0"/>
            <w:ind w:left="549" w:right="0" w:hanging="360"/>
            <w:jc w:val="left"/>
          </w:pPr>
          <w:hyperlink w:history="true" w:anchor="_TOC_250022">
            <w:r>
              <w:rPr>
                <w:spacing w:val="-2"/>
              </w:rPr>
              <w:t>Objectives</w:t>
            </w:r>
            <w:r>
              <w:rPr/>
              <w:tab/>
            </w:r>
            <w:r>
              <w:rPr>
                <w:spacing w:val="-10"/>
              </w:rPr>
              <w:t>2</w:t>
            </w:r>
          </w:hyperlink>
        </w:p>
        <w:p>
          <w:pPr>
            <w:pStyle w:val="TOC2"/>
            <w:numPr>
              <w:ilvl w:val="1"/>
              <w:numId w:val="1"/>
            </w:numPr>
            <w:tabs>
              <w:tab w:pos="549" w:val="left" w:leader="none"/>
              <w:tab w:pos="8661" w:val="right" w:leader="none"/>
            </w:tabs>
            <w:spacing w:line="240" w:lineRule="auto" w:before="164" w:after="0"/>
            <w:ind w:left="549" w:right="0" w:hanging="360"/>
            <w:jc w:val="left"/>
          </w:pPr>
          <w:hyperlink w:history="true" w:anchor="_TOC_250021">
            <w:r>
              <w:rPr/>
              <w:t>Scope and </w:t>
            </w:r>
            <w:r>
              <w:rPr>
                <w:spacing w:val="-2"/>
              </w:rPr>
              <w:t>Limitations</w:t>
            </w:r>
            <w:r>
              <w:rPr/>
              <w:tab/>
            </w:r>
            <w:r>
              <w:rPr>
                <w:spacing w:val="-10"/>
              </w:rPr>
              <w:t>3</w:t>
            </w:r>
          </w:hyperlink>
        </w:p>
        <w:p>
          <w:pPr>
            <w:pStyle w:val="TOC1"/>
            <w:tabs>
              <w:tab w:pos="8661" w:val="right" w:leader="none"/>
            </w:tabs>
          </w:pPr>
          <w:hyperlink w:history="true" w:anchor="_TOC_250020">
            <w:r>
              <w:rPr/>
              <w:t>CHAPTER 2 — Literature </w:t>
            </w:r>
            <w:r>
              <w:rPr>
                <w:spacing w:val="-2"/>
              </w:rPr>
              <w:t>Review</w:t>
            </w:r>
            <w:r>
              <w:rPr/>
              <w:tab/>
            </w:r>
            <w:r>
              <w:rPr>
                <w:spacing w:val="-10"/>
              </w:rPr>
              <w:t>4</w:t>
            </w:r>
          </w:hyperlink>
        </w:p>
        <w:p>
          <w:pPr>
            <w:pStyle w:val="TOC2"/>
            <w:numPr>
              <w:ilvl w:val="1"/>
              <w:numId w:val="2"/>
            </w:numPr>
            <w:tabs>
              <w:tab w:pos="549" w:val="left" w:leader="none"/>
              <w:tab w:pos="8661" w:val="right" w:leader="none"/>
            </w:tabs>
            <w:spacing w:line="240" w:lineRule="auto" w:before="164" w:after="0"/>
            <w:ind w:left="549" w:right="0" w:hanging="360"/>
            <w:jc w:val="left"/>
          </w:pPr>
          <w:hyperlink w:history="true" w:anchor="_TOC_250019">
            <w:r>
              <w:rPr/>
              <w:t>Circular Economy </w:t>
            </w:r>
            <w:r>
              <w:rPr>
                <w:spacing w:val="-2"/>
              </w:rPr>
              <w:t>Frameworks</w:t>
            </w:r>
            <w:r>
              <w:rPr/>
              <w:tab/>
            </w:r>
            <w:r>
              <w:rPr>
                <w:spacing w:val="-10"/>
              </w:rPr>
              <w:t>4</w:t>
            </w:r>
          </w:hyperlink>
        </w:p>
        <w:p>
          <w:pPr>
            <w:pStyle w:val="TOC2"/>
            <w:numPr>
              <w:ilvl w:val="1"/>
              <w:numId w:val="2"/>
            </w:numPr>
            <w:tabs>
              <w:tab w:pos="549" w:val="left" w:leader="none"/>
              <w:tab w:pos="8661" w:val="right" w:leader="none"/>
            </w:tabs>
            <w:spacing w:line="240" w:lineRule="auto" w:before="164" w:after="0"/>
            <w:ind w:left="549" w:right="0" w:hanging="360"/>
            <w:jc w:val="left"/>
          </w:pPr>
          <w:hyperlink w:history="true" w:anchor="_TOC_250018">
            <w:r>
              <w:rPr/>
              <w:t>Lifecycle Assessment </w:t>
            </w:r>
            <w:r>
              <w:rPr>
                <w:spacing w:val="-2"/>
              </w:rPr>
              <w:t>Methodologies</w:t>
            </w:r>
            <w:r>
              <w:rPr/>
              <w:tab/>
            </w:r>
            <w:r>
              <w:rPr>
                <w:spacing w:val="-10"/>
              </w:rPr>
              <w:t>5</w:t>
            </w:r>
          </w:hyperlink>
        </w:p>
        <w:p>
          <w:pPr>
            <w:pStyle w:val="TOC2"/>
            <w:numPr>
              <w:ilvl w:val="1"/>
              <w:numId w:val="2"/>
            </w:numPr>
            <w:tabs>
              <w:tab w:pos="549" w:val="left" w:leader="none"/>
              <w:tab w:pos="8661" w:val="right" w:leader="none"/>
            </w:tabs>
            <w:spacing w:line="240" w:lineRule="auto" w:before="164" w:after="0"/>
            <w:ind w:left="549" w:right="0" w:hanging="360"/>
            <w:jc w:val="left"/>
          </w:pPr>
          <w:hyperlink w:history="true" w:anchor="_TOC_250017">
            <w:r>
              <w:rPr/>
              <w:t>Multi-Agent Systems in </w:t>
            </w:r>
            <w:r>
              <w:rPr>
                <w:spacing w:val="-2"/>
              </w:rPr>
              <w:t>Sustainability</w:t>
            </w:r>
            <w:r>
              <w:rPr/>
              <w:tab/>
            </w:r>
            <w:r>
              <w:rPr>
                <w:spacing w:val="-10"/>
              </w:rPr>
              <w:t>5</w:t>
            </w:r>
          </w:hyperlink>
        </w:p>
        <w:p>
          <w:pPr>
            <w:pStyle w:val="TOC2"/>
            <w:numPr>
              <w:ilvl w:val="1"/>
              <w:numId w:val="2"/>
            </w:numPr>
            <w:tabs>
              <w:tab w:pos="549" w:val="left" w:leader="none"/>
              <w:tab w:pos="8661" w:val="right" w:leader="none"/>
            </w:tabs>
            <w:spacing w:line="240" w:lineRule="auto" w:before="164" w:after="0"/>
            <w:ind w:left="549" w:right="0" w:hanging="360"/>
            <w:jc w:val="left"/>
          </w:pPr>
          <w:hyperlink w:history="true" w:anchor="_TOC_250016">
            <w:r>
              <w:rPr/>
              <w:t>Industrial Ecology and </w:t>
            </w:r>
            <w:r>
              <w:rPr>
                <w:spacing w:val="-2"/>
              </w:rPr>
              <w:t>Symbiosis</w:t>
            </w:r>
            <w:r>
              <w:rPr/>
              <w:tab/>
            </w:r>
            <w:r>
              <w:rPr>
                <w:spacing w:val="-10"/>
              </w:rPr>
              <w:t>6</w:t>
            </w:r>
          </w:hyperlink>
        </w:p>
        <w:p>
          <w:pPr>
            <w:pStyle w:val="TOC1"/>
            <w:tabs>
              <w:tab w:pos="8661" w:val="right" w:leader="none"/>
            </w:tabs>
          </w:pPr>
          <w:r>
            <w:rPr/>
            <w:t>CHAPTER 3 — System Architecture and </w:t>
          </w:r>
          <w:r>
            <w:rPr>
              <w:spacing w:val="-2"/>
            </w:rPr>
            <w:t>Design</w:t>
          </w:r>
          <w:r>
            <w:rPr/>
            <w:tab/>
          </w:r>
          <w:r>
            <w:rPr>
              <w:spacing w:val="-10"/>
            </w:rPr>
            <w:t>7</w:t>
          </w:r>
        </w:p>
        <w:p>
          <w:pPr>
            <w:pStyle w:val="TOC2"/>
            <w:numPr>
              <w:ilvl w:val="1"/>
              <w:numId w:val="3"/>
            </w:numPr>
            <w:tabs>
              <w:tab w:pos="549" w:val="left" w:leader="none"/>
              <w:tab w:pos="8661" w:val="right" w:leader="none"/>
            </w:tabs>
            <w:spacing w:line="240" w:lineRule="auto" w:before="164" w:after="0"/>
            <w:ind w:left="549" w:right="0" w:hanging="360"/>
            <w:jc w:val="left"/>
          </w:pPr>
          <w:hyperlink w:history="true" w:anchor="_TOC_250015">
            <w:r>
              <w:rPr/>
              <w:t>Architectural </w:t>
            </w:r>
            <w:r>
              <w:rPr>
                <w:spacing w:val="-2"/>
              </w:rPr>
              <w:t>Overview</w:t>
            </w:r>
            <w:r>
              <w:rPr/>
              <w:tab/>
            </w:r>
            <w:r>
              <w:rPr>
                <w:spacing w:val="-10"/>
              </w:rPr>
              <w:t>7</w:t>
            </w:r>
          </w:hyperlink>
        </w:p>
        <w:p>
          <w:pPr>
            <w:pStyle w:val="TOC2"/>
            <w:numPr>
              <w:ilvl w:val="1"/>
              <w:numId w:val="3"/>
            </w:numPr>
            <w:tabs>
              <w:tab w:pos="549" w:val="left" w:leader="none"/>
              <w:tab w:pos="8661" w:val="right" w:leader="none"/>
            </w:tabs>
            <w:spacing w:line="240" w:lineRule="auto" w:before="164" w:after="0"/>
            <w:ind w:left="549" w:right="0" w:hanging="360"/>
            <w:jc w:val="left"/>
          </w:pPr>
          <w:hyperlink w:history="true" w:anchor="_TOC_250014">
            <w:r>
              <w:rPr/>
              <w:t>Agent </w:t>
            </w:r>
            <w:r>
              <w:rPr>
                <w:spacing w:val="-2"/>
              </w:rPr>
              <w:t>Descriptions</w:t>
            </w:r>
            <w:r>
              <w:rPr/>
              <w:tab/>
            </w:r>
            <w:r>
              <w:rPr>
                <w:spacing w:val="-10"/>
              </w:rPr>
              <w:t>7</w:t>
            </w:r>
          </w:hyperlink>
        </w:p>
        <w:p>
          <w:pPr>
            <w:pStyle w:val="TOC2"/>
            <w:numPr>
              <w:ilvl w:val="1"/>
              <w:numId w:val="3"/>
            </w:numPr>
            <w:tabs>
              <w:tab w:pos="549" w:val="left" w:leader="none"/>
              <w:tab w:pos="8661" w:val="right" w:leader="none"/>
            </w:tabs>
            <w:spacing w:line="240" w:lineRule="auto" w:before="164" w:after="0"/>
            <w:ind w:left="549" w:right="0" w:hanging="360"/>
            <w:jc w:val="left"/>
          </w:pPr>
          <w:hyperlink w:history="true" w:anchor="_TOC_250013">
            <w:r>
              <w:rPr/>
              <w:t>Inter-Agent Communication </w:t>
            </w:r>
            <w:r>
              <w:rPr>
                <w:spacing w:val="-2"/>
              </w:rPr>
              <w:t>Protocol</w:t>
            </w:r>
            <w:r>
              <w:rPr/>
              <w:tab/>
            </w:r>
            <w:r>
              <w:rPr>
                <w:spacing w:val="-10"/>
              </w:rPr>
              <w:t>9</w:t>
            </w:r>
          </w:hyperlink>
        </w:p>
        <w:p>
          <w:pPr>
            <w:pStyle w:val="TOC2"/>
            <w:numPr>
              <w:ilvl w:val="1"/>
              <w:numId w:val="3"/>
            </w:numPr>
            <w:tabs>
              <w:tab w:pos="549" w:val="left" w:leader="none"/>
              <w:tab w:pos="8661" w:val="right" w:leader="none"/>
            </w:tabs>
            <w:spacing w:line="240" w:lineRule="auto" w:before="164" w:after="0"/>
            <w:ind w:left="549" w:right="0" w:hanging="360"/>
            <w:jc w:val="left"/>
          </w:pPr>
          <w:hyperlink w:history="true" w:anchor="_TOC_250012">
            <w:r>
              <w:rPr/>
              <w:t>Technology </w:t>
            </w:r>
            <w:r>
              <w:rPr>
                <w:spacing w:val="-2"/>
              </w:rPr>
              <w:t>Stack</w:t>
            </w:r>
            <w:r>
              <w:rPr/>
              <w:tab/>
            </w:r>
            <w:r>
              <w:rPr>
                <w:spacing w:val="-10"/>
              </w:rPr>
              <w:t>9</w:t>
            </w:r>
          </w:hyperlink>
        </w:p>
        <w:p>
          <w:pPr>
            <w:pStyle w:val="TOC1"/>
            <w:tabs>
              <w:tab w:pos="8781" w:val="right" w:leader="none"/>
            </w:tabs>
          </w:pPr>
          <w:hyperlink w:history="true" w:anchor="_TOC_250011">
            <w:r>
              <w:rPr/>
              <w:t>CHAPTER 4 — </w:t>
            </w:r>
            <w:r>
              <w:rPr>
                <w:spacing w:val="-2"/>
              </w:rPr>
              <w:t>Implementation</w:t>
            </w:r>
            <w:r>
              <w:rPr/>
              <w:tab/>
            </w:r>
            <w:r>
              <w:rPr>
                <w:spacing w:val="-5"/>
              </w:rPr>
              <w:t>11</w:t>
            </w:r>
          </w:hyperlink>
        </w:p>
        <w:p>
          <w:pPr>
            <w:pStyle w:val="TOC2"/>
            <w:numPr>
              <w:ilvl w:val="1"/>
              <w:numId w:val="4"/>
            </w:numPr>
            <w:tabs>
              <w:tab w:pos="549" w:val="left" w:leader="none"/>
              <w:tab w:pos="8781" w:val="right" w:leader="none"/>
            </w:tabs>
            <w:spacing w:line="240" w:lineRule="auto" w:before="164" w:after="0"/>
            <w:ind w:left="549" w:right="0" w:hanging="360"/>
            <w:jc w:val="left"/>
          </w:pPr>
          <w:hyperlink w:history="true" w:anchor="_TOC_250010">
            <w:r>
              <w:rPr/>
              <w:t>Backend </w:t>
            </w:r>
            <w:r>
              <w:rPr>
                <w:spacing w:val="-2"/>
              </w:rPr>
              <w:t>Implementation</w:t>
            </w:r>
            <w:r>
              <w:rPr/>
              <w:tab/>
            </w:r>
            <w:r>
              <w:rPr>
                <w:spacing w:val="-5"/>
              </w:rPr>
              <w:t>11</w:t>
            </w:r>
          </w:hyperlink>
        </w:p>
        <w:p>
          <w:pPr>
            <w:pStyle w:val="TOC2"/>
            <w:numPr>
              <w:ilvl w:val="1"/>
              <w:numId w:val="4"/>
            </w:numPr>
            <w:tabs>
              <w:tab w:pos="549" w:val="left" w:leader="none"/>
              <w:tab w:pos="8781" w:val="right" w:leader="none"/>
            </w:tabs>
            <w:spacing w:line="240" w:lineRule="auto" w:before="164" w:after="0"/>
            <w:ind w:left="549" w:right="0" w:hanging="360"/>
            <w:jc w:val="left"/>
          </w:pPr>
          <w:hyperlink w:history="true" w:anchor="_TOC_250009">
            <w:r>
              <w:rPr/>
              <w:t>Frontend </w:t>
            </w:r>
            <w:r>
              <w:rPr>
                <w:spacing w:val="-2"/>
              </w:rPr>
              <w:t>Implementation</w:t>
            </w:r>
            <w:r>
              <w:rPr/>
              <w:tab/>
            </w:r>
            <w:r>
              <w:rPr>
                <w:spacing w:val="-5"/>
              </w:rPr>
              <w:t>13</w:t>
            </w:r>
          </w:hyperlink>
        </w:p>
        <w:p>
          <w:pPr>
            <w:pStyle w:val="TOC2"/>
            <w:numPr>
              <w:ilvl w:val="1"/>
              <w:numId w:val="4"/>
            </w:numPr>
            <w:tabs>
              <w:tab w:pos="549" w:val="left" w:leader="none"/>
              <w:tab w:pos="8781" w:val="right" w:leader="none"/>
            </w:tabs>
            <w:spacing w:line="240" w:lineRule="auto" w:before="164" w:after="0"/>
            <w:ind w:left="549" w:right="0" w:hanging="360"/>
            <w:jc w:val="left"/>
          </w:pPr>
          <w:hyperlink w:history="true" w:anchor="_TOC_250008">
            <w:r>
              <w:rPr/>
              <w:t>Dynamic Key </w:t>
            </w:r>
            <w:r>
              <w:rPr>
                <w:spacing w:val="-2"/>
              </w:rPr>
              <w:t>Reloading</w:t>
            </w:r>
            <w:r>
              <w:rPr/>
              <w:tab/>
            </w:r>
            <w:r>
              <w:rPr>
                <w:spacing w:val="-5"/>
              </w:rPr>
              <w:t>14</w:t>
            </w:r>
          </w:hyperlink>
        </w:p>
        <w:p>
          <w:pPr>
            <w:pStyle w:val="TOC1"/>
            <w:tabs>
              <w:tab w:pos="8781" w:val="right" w:leader="none"/>
            </w:tabs>
          </w:pPr>
          <w:hyperlink w:history="true" w:anchor="_TOC_250007">
            <w:r>
              <w:rPr/>
              <w:t>CHAPTER 5 — Results and </w:t>
            </w:r>
            <w:r>
              <w:rPr>
                <w:spacing w:val="-2"/>
              </w:rPr>
              <w:t>Discussion</w:t>
            </w:r>
            <w:r>
              <w:rPr/>
              <w:tab/>
            </w:r>
            <w:r>
              <w:rPr>
                <w:spacing w:val="-5"/>
              </w:rPr>
              <w:t>15</w:t>
            </w:r>
          </w:hyperlink>
        </w:p>
        <w:p>
          <w:pPr>
            <w:pStyle w:val="TOC2"/>
            <w:numPr>
              <w:ilvl w:val="1"/>
              <w:numId w:val="5"/>
            </w:numPr>
            <w:tabs>
              <w:tab w:pos="549" w:val="left" w:leader="none"/>
              <w:tab w:pos="8781" w:val="right" w:leader="none"/>
            </w:tabs>
            <w:spacing w:line="240" w:lineRule="auto" w:before="164" w:after="0"/>
            <w:ind w:left="549" w:right="0" w:hanging="360"/>
            <w:jc w:val="left"/>
          </w:pPr>
          <w:hyperlink w:history="true" w:anchor="_TOC_250006">
            <w:r>
              <w:rPr/>
              <w:t>Sample Audit </w:t>
            </w:r>
            <w:r>
              <w:rPr>
                <w:spacing w:val="-2"/>
              </w:rPr>
              <w:t>Execution</w:t>
            </w:r>
            <w:r>
              <w:rPr/>
              <w:tab/>
            </w:r>
            <w:r>
              <w:rPr>
                <w:spacing w:val="-5"/>
              </w:rPr>
              <w:t>15</w:t>
            </w:r>
          </w:hyperlink>
        </w:p>
        <w:p>
          <w:pPr>
            <w:pStyle w:val="TOC2"/>
            <w:numPr>
              <w:ilvl w:val="1"/>
              <w:numId w:val="5"/>
            </w:numPr>
            <w:tabs>
              <w:tab w:pos="549" w:val="left" w:leader="none"/>
              <w:tab w:pos="8781" w:val="right" w:leader="none"/>
            </w:tabs>
            <w:spacing w:line="240" w:lineRule="auto" w:before="164" w:after="0"/>
            <w:ind w:left="549" w:right="0" w:hanging="360"/>
            <w:jc w:val="left"/>
          </w:pPr>
          <w:hyperlink w:history="true" w:anchor="_TOC_250005">
            <w:r>
              <w:rPr/>
              <w:t>Agent </w:t>
            </w:r>
            <w:r>
              <w:rPr>
                <w:spacing w:val="-2"/>
              </w:rPr>
              <w:t>Findings</w:t>
            </w:r>
            <w:r>
              <w:rPr/>
              <w:tab/>
            </w:r>
            <w:r>
              <w:rPr>
                <w:spacing w:val="-5"/>
              </w:rPr>
              <w:t>15</w:t>
            </w:r>
          </w:hyperlink>
        </w:p>
        <w:p>
          <w:pPr>
            <w:pStyle w:val="TOC2"/>
            <w:numPr>
              <w:ilvl w:val="1"/>
              <w:numId w:val="5"/>
            </w:numPr>
            <w:tabs>
              <w:tab w:pos="549" w:val="left" w:leader="none"/>
              <w:tab w:pos="8781" w:val="right" w:leader="none"/>
            </w:tabs>
            <w:spacing w:line="240" w:lineRule="auto" w:before="164" w:after="0"/>
            <w:ind w:left="549" w:right="0" w:hanging="360"/>
            <w:jc w:val="left"/>
          </w:pPr>
          <w:hyperlink w:history="true" w:anchor="_TOC_250004">
            <w:r>
              <w:rPr/>
              <w:t>Synthesis </w:t>
            </w:r>
            <w:r>
              <w:rPr>
                <w:spacing w:val="-2"/>
              </w:rPr>
              <w:t>Report</w:t>
            </w:r>
            <w:r>
              <w:rPr/>
              <w:tab/>
            </w:r>
            <w:r>
              <w:rPr>
                <w:spacing w:val="-5"/>
              </w:rPr>
              <w:t>17</w:t>
            </w:r>
          </w:hyperlink>
        </w:p>
        <w:p>
          <w:pPr>
            <w:pStyle w:val="TOC1"/>
            <w:tabs>
              <w:tab w:pos="8781" w:val="right" w:leader="none"/>
            </w:tabs>
          </w:pPr>
          <w:hyperlink w:history="true" w:anchor="_TOC_250003">
            <w:r>
              <w:rPr/>
              <w:t>CHAPTER 6 — Conclusion and Future </w:t>
            </w:r>
            <w:r>
              <w:rPr>
                <w:spacing w:val="-4"/>
              </w:rPr>
              <w:t>Work</w:t>
            </w:r>
            <w:r>
              <w:rPr/>
              <w:tab/>
            </w:r>
            <w:r>
              <w:rPr>
                <w:spacing w:val="-5"/>
              </w:rPr>
              <w:t>18</w:t>
            </w:r>
          </w:hyperlink>
        </w:p>
        <w:p>
          <w:pPr>
            <w:pStyle w:val="TOC2"/>
            <w:numPr>
              <w:ilvl w:val="1"/>
              <w:numId w:val="6"/>
            </w:numPr>
            <w:tabs>
              <w:tab w:pos="549" w:val="left" w:leader="none"/>
              <w:tab w:pos="8781" w:val="right" w:leader="none"/>
            </w:tabs>
            <w:spacing w:line="240" w:lineRule="auto" w:before="165" w:after="20"/>
            <w:ind w:left="549" w:right="0" w:hanging="360"/>
            <w:jc w:val="left"/>
          </w:pPr>
          <w:hyperlink w:history="true" w:anchor="_TOC_250002">
            <w:r>
              <w:rPr>
                <w:spacing w:val="-2"/>
              </w:rPr>
              <w:t>Conclusion</w:t>
            </w:r>
            <w:r>
              <w:rPr/>
              <w:tab/>
            </w:r>
            <w:r>
              <w:rPr>
                <w:spacing w:val="-5"/>
              </w:rPr>
              <w:t>18</w:t>
            </w:r>
          </w:hyperlink>
        </w:p>
        <w:p>
          <w:pPr>
            <w:pStyle w:val="TOC2"/>
            <w:numPr>
              <w:ilvl w:val="1"/>
              <w:numId w:val="6"/>
            </w:numPr>
            <w:tabs>
              <w:tab w:pos="549" w:val="left" w:leader="none"/>
              <w:tab w:pos="8781" w:val="right" w:leader="none"/>
            </w:tabs>
            <w:spacing w:line="240" w:lineRule="auto" w:before="80" w:after="0"/>
            <w:ind w:left="549" w:right="0" w:hanging="360"/>
            <w:jc w:val="left"/>
          </w:pPr>
          <w:hyperlink w:history="true" w:anchor="_TOC_250001">
            <w:r>
              <w:rPr/>
              <w:t>Future </w:t>
            </w:r>
            <w:r>
              <w:rPr>
                <w:spacing w:val="-4"/>
              </w:rPr>
              <w:t>Work</w:t>
            </w:r>
            <w:r>
              <w:rPr/>
              <w:tab/>
            </w:r>
            <w:r>
              <w:rPr>
                <w:spacing w:val="-5"/>
              </w:rPr>
              <w:t>18</w:t>
            </w:r>
          </w:hyperlink>
        </w:p>
        <w:p>
          <w:pPr>
            <w:pStyle w:val="TOC1"/>
            <w:tabs>
              <w:tab w:pos="8781" w:val="right" w:leader="none"/>
            </w:tabs>
          </w:pPr>
          <w:hyperlink w:history="true" w:anchor="_TOC_250000">
            <w:r>
              <w:rPr>
                <w:spacing w:val="-2"/>
              </w:rPr>
              <w:t>References</w:t>
            </w:r>
            <w:r>
              <w:rPr/>
              <w:tab/>
            </w:r>
            <w:r>
              <w:rPr>
                <w:spacing w:val="-5"/>
              </w:rPr>
              <w:t>20</w:t>
            </w:r>
          </w:hyperlink>
        </w:p>
      </w:sdtContent>
    </w:sdt>
    <w:p>
      <w:pPr>
        <w:pStyle w:val="TOC1"/>
        <w:spacing w:after="0"/>
        <w:sectPr>
          <w:type w:val="continuous"/>
          <w:pgSz w:w="11910" w:h="16840"/>
          <w:pgMar w:header="0" w:footer="626" w:top="1537" w:bottom="1967" w:left="1275" w:right="1275"/>
        </w:sectPr>
      </w:pPr>
    </w:p>
    <w:p>
      <w:pPr>
        <w:pStyle w:val="Heading1"/>
      </w:pPr>
      <w:bookmarkStart w:name="_TOC_250026" w:id="3"/>
      <w:r>
        <w:rPr/>
        <w:t>LIST OF </w:t>
      </w:r>
      <w:bookmarkEnd w:id="3"/>
      <w:r>
        <w:rPr>
          <w:spacing w:val="-2"/>
        </w:rPr>
        <w:t>FIGURES</w:t>
      </w:r>
    </w:p>
    <w:p>
      <w:pPr>
        <w:pStyle w:val="BodyText"/>
        <w:spacing w:before="176"/>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990600</wp:posOffset>
                </wp:positionH>
                <wp:positionV relativeFrom="paragraph">
                  <wp:posOffset>273196</wp:posOffset>
                </wp:positionV>
                <wp:extent cx="557911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21.511568pt;width:439.3pt;height:.1pt;mso-position-horizontal-relative:page;mso-position-vertical-relative:paragraph;z-index:-15726592;mso-wrap-distance-left:0;mso-wrap-distance-right:0" id="docshape6" coordorigin="1560,430" coordsize="8786,0" path="m1560,430l10346,430e" filled="false" stroked="true" strokeweight=".5pt" strokecolor="#000000">
                <v:path arrowok="t"/>
                <v:stroke dashstyle="solid"/>
                <w10:wrap type="topAndBottom"/>
              </v:shape>
            </w:pict>
          </mc:Fallback>
        </mc:AlternateContent>
      </w:r>
    </w:p>
    <w:p>
      <w:pPr>
        <w:pStyle w:val="BodyText"/>
        <w:spacing w:before="159"/>
        <w:rPr>
          <w:b/>
          <w:sz w:val="20"/>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6205"/>
        <w:gridCol w:w="1509"/>
      </w:tblGrid>
      <w:tr>
        <w:trPr>
          <w:trHeight w:val="372" w:hRule="atLeast"/>
        </w:trPr>
        <w:tc>
          <w:tcPr>
            <w:tcW w:w="1290" w:type="dxa"/>
          </w:tcPr>
          <w:p>
            <w:pPr>
              <w:pStyle w:val="TableParagraph"/>
              <w:spacing w:line="266" w:lineRule="exact" w:before="0"/>
              <w:ind w:left="50"/>
              <w:rPr>
                <w:b/>
                <w:sz w:val="24"/>
              </w:rPr>
            </w:pPr>
            <w:r>
              <w:rPr>
                <w:b/>
                <w:sz w:val="24"/>
              </w:rPr>
              <w:t>Figure </w:t>
            </w:r>
            <w:r>
              <w:rPr>
                <w:b/>
                <w:spacing w:val="-5"/>
                <w:sz w:val="24"/>
              </w:rPr>
              <w:t>3.1</w:t>
            </w:r>
          </w:p>
        </w:tc>
        <w:tc>
          <w:tcPr>
            <w:tcW w:w="6205" w:type="dxa"/>
          </w:tcPr>
          <w:p>
            <w:pPr>
              <w:pStyle w:val="TableParagraph"/>
              <w:spacing w:line="266" w:lineRule="exact" w:before="0"/>
              <w:ind w:left="200"/>
              <w:rPr>
                <w:sz w:val="24"/>
              </w:rPr>
            </w:pPr>
            <w:r>
              <w:rPr>
                <w:sz w:val="24"/>
              </w:rPr>
              <w:t>MACEA Multi-Agent Architecture </w:t>
            </w:r>
            <w:r>
              <w:rPr>
                <w:spacing w:val="-2"/>
                <w:sz w:val="24"/>
              </w:rPr>
              <w:t>Diagram</w:t>
            </w:r>
          </w:p>
        </w:tc>
        <w:tc>
          <w:tcPr>
            <w:tcW w:w="1509" w:type="dxa"/>
          </w:tcPr>
          <w:p>
            <w:pPr>
              <w:pStyle w:val="TableParagraph"/>
              <w:spacing w:line="266" w:lineRule="exact" w:before="0"/>
              <w:ind w:right="49"/>
              <w:jc w:val="right"/>
              <w:rPr>
                <w:sz w:val="24"/>
              </w:rPr>
            </w:pPr>
            <w:r>
              <w:rPr>
                <w:spacing w:val="-10"/>
                <w:sz w:val="24"/>
              </w:rPr>
              <w:t>8</w:t>
            </w:r>
          </w:p>
        </w:tc>
      </w:tr>
      <w:tr>
        <w:trPr>
          <w:trHeight w:val="480" w:hRule="atLeast"/>
        </w:trPr>
        <w:tc>
          <w:tcPr>
            <w:tcW w:w="1290" w:type="dxa"/>
          </w:tcPr>
          <w:p>
            <w:pPr>
              <w:pStyle w:val="TableParagraph"/>
              <w:spacing w:before="97"/>
              <w:ind w:left="50"/>
              <w:rPr>
                <w:b/>
                <w:sz w:val="24"/>
              </w:rPr>
            </w:pPr>
            <w:r>
              <w:rPr>
                <w:b/>
                <w:sz w:val="24"/>
              </w:rPr>
              <w:t>Figure </w:t>
            </w:r>
            <w:r>
              <w:rPr>
                <w:b/>
                <w:spacing w:val="-5"/>
                <w:sz w:val="24"/>
              </w:rPr>
              <w:t>3.2</w:t>
            </w:r>
          </w:p>
        </w:tc>
        <w:tc>
          <w:tcPr>
            <w:tcW w:w="6205" w:type="dxa"/>
          </w:tcPr>
          <w:p>
            <w:pPr>
              <w:pStyle w:val="TableParagraph"/>
              <w:spacing w:before="97"/>
              <w:ind w:left="200"/>
              <w:rPr>
                <w:sz w:val="24"/>
              </w:rPr>
            </w:pPr>
            <w:r>
              <w:rPr>
                <w:sz w:val="24"/>
              </w:rPr>
              <w:t>Inter-Agent Communication and Synthesis </w:t>
            </w:r>
            <w:r>
              <w:rPr>
                <w:spacing w:val="-4"/>
                <w:sz w:val="24"/>
              </w:rPr>
              <w:t>Flow</w:t>
            </w:r>
          </w:p>
        </w:tc>
        <w:tc>
          <w:tcPr>
            <w:tcW w:w="1509" w:type="dxa"/>
          </w:tcPr>
          <w:p>
            <w:pPr>
              <w:pStyle w:val="TableParagraph"/>
              <w:spacing w:before="97"/>
              <w:ind w:right="49"/>
              <w:jc w:val="right"/>
              <w:rPr>
                <w:sz w:val="24"/>
              </w:rPr>
            </w:pPr>
            <w:r>
              <w:rPr>
                <w:spacing w:val="-10"/>
                <w:sz w:val="24"/>
              </w:rPr>
              <w:t>9</w:t>
            </w:r>
          </w:p>
        </w:tc>
      </w:tr>
      <w:tr>
        <w:trPr>
          <w:trHeight w:val="420" w:hRule="atLeast"/>
        </w:trPr>
        <w:tc>
          <w:tcPr>
            <w:tcW w:w="1290" w:type="dxa"/>
          </w:tcPr>
          <w:p>
            <w:pPr>
              <w:pStyle w:val="TableParagraph"/>
              <w:spacing w:before="97"/>
              <w:ind w:left="50"/>
              <w:rPr>
                <w:b/>
                <w:sz w:val="24"/>
              </w:rPr>
            </w:pPr>
            <w:r>
              <w:rPr>
                <w:b/>
                <w:sz w:val="24"/>
              </w:rPr>
              <w:t>Figure </w:t>
            </w:r>
            <w:r>
              <w:rPr>
                <w:b/>
                <w:spacing w:val="-5"/>
                <w:sz w:val="24"/>
              </w:rPr>
              <w:t>4.1</w:t>
            </w:r>
          </w:p>
        </w:tc>
        <w:tc>
          <w:tcPr>
            <w:tcW w:w="6205" w:type="dxa"/>
          </w:tcPr>
          <w:p>
            <w:pPr>
              <w:pStyle w:val="TableParagraph"/>
              <w:spacing w:before="97"/>
              <w:ind w:left="200"/>
              <w:rPr>
                <w:sz w:val="24"/>
              </w:rPr>
            </w:pPr>
            <w:r>
              <w:rPr>
                <w:sz w:val="24"/>
              </w:rPr>
              <w:t>FastAPI Endpoint </w:t>
            </w:r>
            <w:r>
              <w:rPr>
                <w:spacing w:val="-2"/>
                <w:sz w:val="24"/>
              </w:rPr>
              <w:t>Structure</w:t>
            </w:r>
          </w:p>
        </w:tc>
        <w:tc>
          <w:tcPr>
            <w:tcW w:w="1509" w:type="dxa"/>
          </w:tcPr>
          <w:p>
            <w:pPr>
              <w:pStyle w:val="TableParagraph"/>
              <w:spacing w:before="97"/>
              <w:ind w:right="49"/>
              <w:jc w:val="right"/>
              <w:rPr>
                <w:sz w:val="24"/>
              </w:rPr>
            </w:pPr>
            <w:r>
              <w:rPr>
                <w:spacing w:val="-10"/>
                <w:sz w:val="24"/>
              </w:rPr>
              <w:t>1</w:t>
            </w:r>
          </w:p>
        </w:tc>
      </w:tr>
      <w:tr>
        <w:trPr>
          <w:trHeight w:val="420" w:hRule="atLeast"/>
        </w:trPr>
        <w:tc>
          <w:tcPr>
            <w:tcW w:w="1290" w:type="dxa"/>
          </w:tcPr>
          <w:p>
            <w:pPr>
              <w:pStyle w:val="TableParagraph"/>
              <w:spacing w:before="0"/>
              <w:rPr>
                <w:sz w:val="24"/>
              </w:rPr>
            </w:pPr>
          </w:p>
        </w:tc>
        <w:tc>
          <w:tcPr>
            <w:tcW w:w="6205" w:type="dxa"/>
          </w:tcPr>
          <w:p>
            <w:pPr>
              <w:pStyle w:val="TableParagraph"/>
              <w:spacing w:before="0"/>
              <w:rPr>
                <w:sz w:val="24"/>
              </w:rPr>
            </w:pPr>
          </w:p>
        </w:tc>
        <w:tc>
          <w:tcPr>
            <w:tcW w:w="1509" w:type="dxa"/>
          </w:tcPr>
          <w:p>
            <w:pPr>
              <w:pStyle w:val="TableParagraph"/>
              <w:spacing w:before="37"/>
              <w:ind w:right="49"/>
              <w:jc w:val="right"/>
              <w:rPr>
                <w:sz w:val="24"/>
              </w:rPr>
            </w:pPr>
            <w:r>
              <w:rPr>
                <w:spacing w:val="-10"/>
                <w:sz w:val="24"/>
              </w:rPr>
              <w:t>2</w:t>
            </w:r>
          </w:p>
        </w:tc>
      </w:tr>
      <w:tr>
        <w:trPr>
          <w:trHeight w:val="420" w:hRule="atLeast"/>
        </w:trPr>
        <w:tc>
          <w:tcPr>
            <w:tcW w:w="1290" w:type="dxa"/>
          </w:tcPr>
          <w:p>
            <w:pPr>
              <w:pStyle w:val="TableParagraph"/>
              <w:spacing w:before="97"/>
              <w:ind w:left="50"/>
              <w:rPr>
                <w:b/>
                <w:sz w:val="24"/>
              </w:rPr>
            </w:pPr>
            <w:r>
              <w:rPr>
                <w:b/>
                <w:sz w:val="24"/>
              </w:rPr>
              <w:t>Figure </w:t>
            </w:r>
            <w:r>
              <w:rPr>
                <w:b/>
                <w:spacing w:val="-5"/>
                <w:sz w:val="24"/>
              </w:rPr>
              <w:t>4.2</w:t>
            </w:r>
          </w:p>
        </w:tc>
        <w:tc>
          <w:tcPr>
            <w:tcW w:w="6205" w:type="dxa"/>
          </w:tcPr>
          <w:p>
            <w:pPr>
              <w:pStyle w:val="TableParagraph"/>
              <w:spacing w:before="97"/>
              <w:ind w:left="200"/>
              <w:rPr>
                <w:sz w:val="24"/>
              </w:rPr>
            </w:pPr>
            <w:r>
              <w:rPr>
                <w:sz w:val="24"/>
              </w:rPr>
              <w:t>React Dashboard </w:t>
            </w:r>
            <w:r>
              <w:rPr>
                <w:spacing w:val="-2"/>
                <w:sz w:val="24"/>
              </w:rPr>
              <w:t>Layout</w:t>
            </w:r>
          </w:p>
        </w:tc>
        <w:tc>
          <w:tcPr>
            <w:tcW w:w="1509" w:type="dxa"/>
          </w:tcPr>
          <w:p>
            <w:pPr>
              <w:pStyle w:val="TableParagraph"/>
              <w:spacing w:before="97"/>
              <w:ind w:right="49"/>
              <w:jc w:val="right"/>
              <w:rPr>
                <w:sz w:val="24"/>
              </w:rPr>
            </w:pPr>
            <w:r>
              <w:rPr>
                <w:spacing w:val="-10"/>
                <w:sz w:val="24"/>
              </w:rPr>
              <w:t>1</w:t>
            </w:r>
          </w:p>
        </w:tc>
      </w:tr>
      <w:tr>
        <w:trPr>
          <w:trHeight w:val="420" w:hRule="atLeast"/>
        </w:trPr>
        <w:tc>
          <w:tcPr>
            <w:tcW w:w="1290" w:type="dxa"/>
          </w:tcPr>
          <w:p>
            <w:pPr>
              <w:pStyle w:val="TableParagraph"/>
              <w:spacing w:before="0"/>
              <w:rPr>
                <w:sz w:val="24"/>
              </w:rPr>
            </w:pPr>
          </w:p>
        </w:tc>
        <w:tc>
          <w:tcPr>
            <w:tcW w:w="6205" w:type="dxa"/>
          </w:tcPr>
          <w:p>
            <w:pPr>
              <w:pStyle w:val="TableParagraph"/>
              <w:spacing w:before="0"/>
              <w:rPr>
                <w:sz w:val="24"/>
              </w:rPr>
            </w:pPr>
          </w:p>
        </w:tc>
        <w:tc>
          <w:tcPr>
            <w:tcW w:w="1509" w:type="dxa"/>
          </w:tcPr>
          <w:p>
            <w:pPr>
              <w:pStyle w:val="TableParagraph"/>
              <w:spacing w:before="37"/>
              <w:ind w:right="49"/>
              <w:jc w:val="right"/>
              <w:rPr>
                <w:sz w:val="24"/>
              </w:rPr>
            </w:pPr>
            <w:r>
              <w:rPr>
                <w:spacing w:val="-10"/>
                <w:sz w:val="24"/>
              </w:rPr>
              <w:t>3</w:t>
            </w:r>
          </w:p>
        </w:tc>
      </w:tr>
      <w:tr>
        <w:trPr>
          <w:trHeight w:val="420" w:hRule="atLeast"/>
        </w:trPr>
        <w:tc>
          <w:tcPr>
            <w:tcW w:w="1290" w:type="dxa"/>
          </w:tcPr>
          <w:p>
            <w:pPr>
              <w:pStyle w:val="TableParagraph"/>
              <w:spacing w:before="97"/>
              <w:ind w:left="50"/>
              <w:rPr>
                <w:b/>
                <w:sz w:val="24"/>
              </w:rPr>
            </w:pPr>
            <w:r>
              <w:rPr>
                <w:b/>
                <w:sz w:val="24"/>
              </w:rPr>
              <w:t>Figure </w:t>
            </w:r>
            <w:r>
              <w:rPr>
                <w:b/>
                <w:spacing w:val="-5"/>
                <w:sz w:val="24"/>
              </w:rPr>
              <w:t>5.1</w:t>
            </w:r>
          </w:p>
        </w:tc>
        <w:tc>
          <w:tcPr>
            <w:tcW w:w="6205" w:type="dxa"/>
          </w:tcPr>
          <w:p>
            <w:pPr>
              <w:pStyle w:val="TableParagraph"/>
              <w:spacing w:before="97"/>
              <w:ind w:left="200"/>
              <w:rPr>
                <w:sz w:val="24"/>
              </w:rPr>
            </w:pPr>
            <w:r>
              <w:rPr>
                <w:sz w:val="24"/>
              </w:rPr>
              <w:t>Sample LCA Scoring </w:t>
            </w:r>
            <w:r>
              <w:rPr>
                <w:spacing w:val="-2"/>
                <w:sz w:val="24"/>
              </w:rPr>
              <w:t>Output</w:t>
            </w:r>
          </w:p>
        </w:tc>
        <w:tc>
          <w:tcPr>
            <w:tcW w:w="1509" w:type="dxa"/>
          </w:tcPr>
          <w:p>
            <w:pPr>
              <w:pStyle w:val="TableParagraph"/>
              <w:spacing w:before="97"/>
              <w:ind w:right="49"/>
              <w:jc w:val="right"/>
              <w:rPr>
                <w:sz w:val="24"/>
              </w:rPr>
            </w:pPr>
            <w:r>
              <w:rPr>
                <w:spacing w:val="-10"/>
                <w:sz w:val="24"/>
              </w:rPr>
              <w:t>1</w:t>
            </w:r>
          </w:p>
        </w:tc>
      </w:tr>
      <w:tr>
        <w:trPr>
          <w:trHeight w:val="419" w:hRule="atLeast"/>
        </w:trPr>
        <w:tc>
          <w:tcPr>
            <w:tcW w:w="1290" w:type="dxa"/>
          </w:tcPr>
          <w:p>
            <w:pPr>
              <w:pStyle w:val="TableParagraph"/>
              <w:spacing w:before="0"/>
              <w:rPr>
                <w:sz w:val="24"/>
              </w:rPr>
            </w:pPr>
          </w:p>
        </w:tc>
        <w:tc>
          <w:tcPr>
            <w:tcW w:w="6205" w:type="dxa"/>
          </w:tcPr>
          <w:p>
            <w:pPr>
              <w:pStyle w:val="TableParagraph"/>
              <w:spacing w:before="0"/>
              <w:rPr>
                <w:sz w:val="24"/>
              </w:rPr>
            </w:pPr>
          </w:p>
        </w:tc>
        <w:tc>
          <w:tcPr>
            <w:tcW w:w="1509" w:type="dxa"/>
          </w:tcPr>
          <w:p>
            <w:pPr>
              <w:pStyle w:val="TableParagraph"/>
              <w:spacing w:before="37"/>
              <w:ind w:right="49"/>
              <w:jc w:val="right"/>
              <w:rPr>
                <w:sz w:val="24"/>
              </w:rPr>
            </w:pPr>
            <w:r>
              <w:rPr>
                <w:spacing w:val="-10"/>
                <w:sz w:val="24"/>
              </w:rPr>
              <w:t>6</w:t>
            </w:r>
          </w:p>
        </w:tc>
      </w:tr>
      <w:tr>
        <w:trPr>
          <w:trHeight w:val="420" w:hRule="atLeast"/>
        </w:trPr>
        <w:tc>
          <w:tcPr>
            <w:tcW w:w="1290" w:type="dxa"/>
          </w:tcPr>
          <w:p>
            <w:pPr>
              <w:pStyle w:val="TableParagraph"/>
              <w:spacing w:before="97"/>
              <w:ind w:left="50"/>
              <w:rPr>
                <w:b/>
                <w:sz w:val="24"/>
              </w:rPr>
            </w:pPr>
            <w:r>
              <w:rPr>
                <w:b/>
                <w:sz w:val="24"/>
              </w:rPr>
              <w:t>Figure </w:t>
            </w:r>
            <w:r>
              <w:rPr>
                <w:b/>
                <w:spacing w:val="-5"/>
                <w:sz w:val="24"/>
              </w:rPr>
              <w:t>5.2</w:t>
            </w:r>
          </w:p>
        </w:tc>
        <w:tc>
          <w:tcPr>
            <w:tcW w:w="6205" w:type="dxa"/>
          </w:tcPr>
          <w:p>
            <w:pPr>
              <w:pStyle w:val="TableParagraph"/>
              <w:spacing w:before="97"/>
              <w:ind w:left="200"/>
              <w:rPr>
                <w:sz w:val="24"/>
              </w:rPr>
            </w:pPr>
            <w:r>
              <w:rPr>
                <w:sz w:val="24"/>
              </w:rPr>
              <w:t>Circularity Gap Radar </w:t>
            </w:r>
            <w:r>
              <w:rPr>
                <w:spacing w:val="-2"/>
                <w:sz w:val="24"/>
              </w:rPr>
              <w:t>Chart</w:t>
            </w:r>
          </w:p>
        </w:tc>
        <w:tc>
          <w:tcPr>
            <w:tcW w:w="1509" w:type="dxa"/>
          </w:tcPr>
          <w:p>
            <w:pPr>
              <w:pStyle w:val="TableParagraph"/>
              <w:spacing w:before="97"/>
              <w:ind w:right="49"/>
              <w:jc w:val="right"/>
              <w:rPr>
                <w:sz w:val="24"/>
              </w:rPr>
            </w:pPr>
            <w:r>
              <w:rPr>
                <w:spacing w:val="-10"/>
                <w:sz w:val="24"/>
              </w:rPr>
              <w:t>1</w:t>
            </w:r>
          </w:p>
        </w:tc>
      </w:tr>
      <w:tr>
        <w:trPr>
          <w:trHeight w:val="312" w:hRule="atLeast"/>
        </w:trPr>
        <w:tc>
          <w:tcPr>
            <w:tcW w:w="1290" w:type="dxa"/>
          </w:tcPr>
          <w:p>
            <w:pPr>
              <w:pStyle w:val="TableParagraph"/>
              <w:spacing w:before="0"/>
              <w:rPr>
                <w:sz w:val="22"/>
              </w:rPr>
            </w:pPr>
          </w:p>
        </w:tc>
        <w:tc>
          <w:tcPr>
            <w:tcW w:w="6205" w:type="dxa"/>
          </w:tcPr>
          <w:p>
            <w:pPr>
              <w:pStyle w:val="TableParagraph"/>
              <w:spacing w:before="0"/>
              <w:rPr>
                <w:sz w:val="22"/>
              </w:rPr>
            </w:pPr>
          </w:p>
        </w:tc>
        <w:tc>
          <w:tcPr>
            <w:tcW w:w="1509" w:type="dxa"/>
          </w:tcPr>
          <w:p>
            <w:pPr>
              <w:pStyle w:val="TableParagraph"/>
              <w:spacing w:line="256" w:lineRule="exact" w:before="37"/>
              <w:ind w:right="49"/>
              <w:jc w:val="right"/>
              <w:rPr>
                <w:sz w:val="24"/>
              </w:rPr>
            </w:pPr>
            <w:r>
              <w:rPr>
                <w:spacing w:val="-10"/>
                <w:sz w:val="24"/>
              </w:rPr>
              <w:t>6</w:t>
            </w:r>
          </w:p>
        </w:tc>
      </w:tr>
    </w:tbl>
    <w:p>
      <w:pPr>
        <w:pStyle w:val="TableParagraph"/>
        <w:spacing w:after="0" w:line="256" w:lineRule="exact"/>
        <w:jc w:val="right"/>
        <w:rPr>
          <w:sz w:val="24"/>
        </w:rPr>
        <w:sectPr>
          <w:footerReference w:type="default" r:id="rId6"/>
          <w:pgSz w:w="11910" w:h="16840"/>
          <w:pgMar w:header="0" w:footer="626" w:top="1500" w:bottom="820" w:left="1275" w:right="1275"/>
          <w:pgNumType w:start="1"/>
        </w:sectPr>
      </w:pPr>
    </w:p>
    <w:p>
      <w:pPr>
        <w:pStyle w:val="Heading1"/>
        <w:spacing w:line="566" w:lineRule="auto"/>
        <w:ind w:left="3557" w:right="3555" w:hanging="1"/>
      </w:pPr>
      <w:bookmarkStart w:name="_TOC_250025" w:id="4"/>
      <w:r>
        <w:rPr/>
        <w:t>CHAPTER 1 </w:t>
      </w:r>
      <w:bookmarkEnd w:id="4"/>
      <w:r>
        <w:rPr>
          <w:spacing w:val="-2"/>
        </w:rPr>
        <w:t>INTRODUCTION</w:t>
      </w:r>
    </w:p>
    <w:p>
      <w:pPr>
        <w:spacing w:line="20" w:lineRule="exact"/>
        <w:ind w:left="285" w:right="0" w:firstLine="0"/>
        <w:rPr>
          <w:sz w:val="2"/>
        </w:rPr>
      </w:pPr>
      <w:r>
        <w:rPr>
          <w:sz w:val="2"/>
        </w:rPr>
        <mc:AlternateContent>
          <mc:Choice Requires="wps">
            <w:drawing>
              <wp:inline distT="0" distB="0" distL="0" distR="0">
                <wp:extent cx="5579110" cy="6350"/>
                <wp:effectExtent l="9525" t="0" r="2539" b="3175"/>
                <wp:docPr id="8" name="Group 8"/>
                <wp:cNvGraphicFramePr>
                  <a:graphicFrameLocks/>
                </wp:cNvGraphicFramePr>
                <a:graphic>
                  <a:graphicData uri="http://schemas.microsoft.com/office/word/2010/wordprocessingGroup">
                    <wpg:wgp>
                      <wpg:cNvPr id="8" name="Group 8"/>
                      <wpg:cNvGrpSpPr/>
                      <wpg:grpSpPr>
                        <a:xfrm>
                          <a:off x="0" y="0"/>
                          <a:ext cx="5579110" cy="6350"/>
                          <a:chExt cx="5579110" cy="6350"/>
                        </a:xfrm>
                      </wpg:grpSpPr>
                      <wps:wsp>
                        <wps:cNvPr id="9" name="Graphic 9"/>
                        <wps:cNvSpPr/>
                        <wps:spPr>
                          <a:xfrm>
                            <a:off x="0" y="3175"/>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3pt;height:.5pt;mso-position-horizontal-relative:char;mso-position-vertical-relative:line" id="docshapegroup7" coordorigin="0,0" coordsize="8786,10">
                <v:line style="position:absolute" from="0,5" to="8786,5" stroked="true" strokeweight=".5pt" strokecolor="#000000">
                  <v:stroke dashstyle="solid"/>
                </v:line>
              </v:group>
            </w:pict>
          </mc:Fallback>
        </mc:AlternateContent>
      </w:r>
      <w:r>
        <w:rPr>
          <w:sz w:val="2"/>
        </w:rPr>
      </w:r>
    </w:p>
    <w:p>
      <w:pPr>
        <w:pStyle w:val="BodyText"/>
        <w:spacing w:before="228"/>
        <w:rPr>
          <w:b/>
        </w:rPr>
      </w:pPr>
    </w:p>
    <w:p>
      <w:pPr>
        <w:pStyle w:val="Heading2"/>
        <w:numPr>
          <w:ilvl w:val="1"/>
          <w:numId w:val="7"/>
        </w:numPr>
        <w:tabs>
          <w:tab w:pos="645" w:val="left" w:leader="none"/>
        </w:tabs>
        <w:spacing w:line="240" w:lineRule="auto" w:before="0" w:after="0"/>
        <w:ind w:left="645" w:right="0" w:hanging="360"/>
        <w:jc w:val="left"/>
      </w:pPr>
      <w:bookmarkStart w:name="_TOC_250024" w:id="5"/>
      <w:r>
        <w:rPr/>
        <w:t>Background and </w:t>
      </w:r>
      <w:bookmarkEnd w:id="5"/>
      <w:r>
        <w:rPr>
          <w:spacing w:val="-2"/>
        </w:rPr>
        <w:t>Motivation</w:t>
      </w:r>
    </w:p>
    <w:p>
      <w:pPr>
        <w:pStyle w:val="BodyText"/>
        <w:spacing w:line="312" w:lineRule="auto" w:before="204"/>
        <w:ind w:left="285" w:right="283"/>
        <w:jc w:val="both"/>
      </w:pPr>
      <w:r>
        <w:rPr/>
        <w:t>The circular economy is a systemic framework that seeks to decouple economic </w:t>
      </w:r>
      <w:r>
        <w:rPr/>
        <w:t>growth from the consumption of finite resources. In contrast to the traditional linear model of take, make, and dispose, a circular economy promotes the continual use of resources through strategies such as reuse, remanufacturing, refurbishment, and recycling. Governments, international bodies, and private enterprises have increasingly adopted circular economy principles as a response to accelerating resource scarcity, climate change, and regulatory pressure. The European Union Circular Economy Action Plan, for instance, mandates product design standards and reporting requirements that necessitate sophisticated analytical tools.</w:t>
      </w:r>
    </w:p>
    <w:p>
      <w:pPr>
        <w:pStyle w:val="BodyText"/>
        <w:spacing w:line="312" w:lineRule="auto" w:before="251"/>
        <w:ind w:left="285" w:right="284"/>
        <w:jc w:val="both"/>
      </w:pPr>
      <w:r>
        <w:rPr/>
        <w:t>Despite the growing institutional commitment to circularity, organisations frequently </w:t>
      </w:r>
      <w:r>
        <w:rPr/>
        <w:t>lack the technical infrastructure to conduct comprehensive circular economy audits. Traditional assessments are expensive, time-consuming, and heavily dependent on domain expertise across multiple disciplines — including environmental science, supply chain management, regulatory compliance, and sustainability policy. Artificial intelligence and in particular multi-agent</w:t>
      </w:r>
      <w:r>
        <w:rPr>
          <w:spacing w:val="-7"/>
        </w:rPr>
        <w:t> </w:t>
      </w:r>
      <w:r>
        <w:rPr/>
        <w:t>systems</w:t>
      </w:r>
      <w:r>
        <w:rPr>
          <w:spacing w:val="-7"/>
        </w:rPr>
        <w:t> </w:t>
      </w:r>
      <w:r>
        <w:rPr/>
        <w:t>present</w:t>
      </w:r>
      <w:r>
        <w:rPr>
          <w:spacing w:val="-7"/>
        </w:rPr>
        <w:t> </w:t>
      </w:r>
      <w:r>
        <w:rPr/>
        <w:t>an</w:t>
      </w:r>
      <w:r>
        <w:rPr>
          <w:spacing w:val="-7"/>
        </w:rPr>
        <w:t> </w:t>
      </w:r>
      <w:r>
        <w:rPr/>
        <w:t>opportunity</w:t>
      </w:r>
      <w:r>
        <w:rPr>
          <w:spacing w:val="-7"/>
        </w:rPr>
        <w:t> </w:t>
      </w:r>
      <w:r>
        <w:rPr/>
        <w:t>to</w:t>
      </w:r>
      <w:r>
        <w:rPr>
          <w:spacing w:val="-7"/>
        </w:rPr>
        <w:t> </w:t>
      </w:r>
      <w:r>
        <w:rPr/>
        <w:t>democratise</w:t>
      </w:r>
      <w:r>
        <w:rPr>
          <w:spacing w:val="-7"/>
        </w:rPr>
        <w:t> </w:t>
      </w:r>
      <w:r>
        <w:rPr/>
        <w:t>access</w:t>
      </w:r>
      <w:r>
        <w:rPr>
          <w:spacing w:val="-7"/>
        </w:rPr>
        <w:t> </w:t>
      </w:r>
      <w:r>
        <w:rPr/>
        <w:t>to</w:t>
      </w:r>
      <w:r>
        <w:rPr>
          <w:spacing w:val="-7"/>
        </w:rPr>
        <w:t> </w:t>
      </w:r>
      <w:r>
        <w:rPr/>
        <w:t>high-quality</w:t>
      </w:r>
      <w:r>
        <w:rPr>
          <w:spacing w:val="-7"/>
        </w:rPr>
        <w:t> </w:t>
      </w:r>
      <w:r>
        <w:rPr/>
        <w:t>circularity assessments by automating the analytical workload of multiple domain specialists </w:t>
      </w:r>
      <w:r>
        <w:rPr>
          <w:spacing w:val="-2"/>
        </w:rPr>
        <w:t>simultaneously.</w:t>
      </w:r>
    </w:p>
    <w:p>
      <w:pPr>
        <w:pStyle w:val="BodyText"/>
        <w:spacing w:before="14"/>
      </w:pPr>
    </w:p>
    <w:p>
      <w:pPr>
        <w:pStyle w:val="Heading2"/>
        <w:numPr>
          <w:ilvl w:val="1"/>
          <w:numId w:val="7"/>
        </w:numPr>
        <w:tabs>
          <w:tab w:pos="645" w:val="left" w:leader="none"/>
        </w:tabs>
        <w:spacing w:line="240" w:lineRule="auto" w:before="0" w:after="0"/>
        <w:ind w:left="645" w:right="0" w:hanging="360"/>
        <w:jc w:val="left"/>
      </w:pPr>
      <w:bookmarkStart w:name="_TOC_250023" w:id="6"/>
      <w:r>
        <w:rPr/>
        <w:t>Problem </w:t>
      </w:r>
      <w:bookmarkEnd w:id="6"/>
      <w:r>
        <w:rPr>
          <w:spacing w:val="-2"/>
        </w:rPr>
        <w:t>Statement</w:t>
      </w:r>
    </w:p>
    <w:p>
      <w:pPr>
        <w:pStyle w:val="BodyText"/>
        <w:spacing w:line="312" w:lineRule="auto" w:before="204"/>
        <w:ind w:left="285" w:right="283"/>
        <w:jc w:val="both"/>
      </w:pPr>
      <w:r>
        <w:rPr/>
        <w:t>Existing lifecycle assessment tools are predominantly single-domain, requiring </w:t>
      </w:r>
      <w:r>
        <w:rPr/>
        <w:t>separate software packages for carbon footprint calculation, water use analysis, resource depletion modelling, and regulatory compliance verification. The integration of these disparate outputs into an actionable audit report is a largely manual process that introduces inconsistencies, delays, and potential for error. Furthermore, most tools lack the ability to contextualise findings against evolving ISO standards or to identify industrial symbiosis opportunities in real time. There exists a clear need for an integrated, automated, and extensible platform capable of performing all these analytical functions concurrently and synthesising the results into a coherent, conflict-aware report.</w:t>
      </w:r>
    </w:p>
    <w:p>
      <w:pPr>
        <w:pStyle w:val="BodyText"/>
        <w:spacing w:before="15"/>
      </w:pPr>
    </w:p>
    <w:p>
      <w:pPr>
        <w:pStyle w:val="Heading2"/>
        <w:numPr>
          <w:ilvl w:val="1"/>
          <w:numId w:val="7"/>
        </w:numPr>
        <w:tabs>
          <w:tab w:pos="645" w:val="left" w:leader="none"/>
        </w:tabs>
        <w:spacing w:line="240" w:lineRule="auto" w:before="0" w:after="0"/>
        <w:ind w:left="645" w:right="0" w:hanging="360"/>
        <w:jc w:val="left"/>
      </w:pPr>
      <w:bookmarkStart w:name="_TOC_250022" w:id="7"/>
      <w:bookmarkEnd w:id="7"/>
      <w:r>
        <w:rPr>
          <w:spacing w:val="-2"/>
        </w:rPr>
        <w:t>Objectives</w:t>
      </w:r>
    </w:p>
    <w:p>
      <w:pPr>
        <w:pStyle w:val="Heading2"/>
        <w:spacing w:after="0" w:line="240" w:lineRule="auto"/>
        <w:jc w:val="left"/>
        <w:sectPr>
          <w:pgSz w:w="11910" w:h="16840"/>
          <w:pgMar w:header="0" w:footer="626" w:top="1500" w:bottom="820" w:left="1275" w:right="1275"/>
        </w:sectPr>
      </w:pPr>
    </w:p>
    <w:p>
      <w:pPr>
        <w:pStyle w:val="BodyText"/>
        <w:tabs>
          <w:tab w:pos="693" w:val="left" w:leader="none"/>
        </w:tabs>
        <w:spacing w:line="312" w:lineRule="auto" w:before="78"/>
        <w:ind w:left="693" w:right="188" w:hanging="504"/>
      </w:pPr>
      <w:r>
        <w:rPr>
          <w:spacing w:val="-4"/>
        </w:rPr>
        <w:t>(i)</w:t>
      </w:r>
      <w:r>
        <w:rPr/>
        <w:tab/>
        <w:t>Design</w:t>
      </w:r>
      <w:r>
        <w:rPr>
          <w:spacing w:val="40"/>
        </w:rPr>
        <w:t> </w:t>
      </w:r>
      <w:r>
        <w:rPr/>
        <w:t>and</w:t>
      </w:r>
      <w:r>
        <w:rPr>
          <w:spacing w:val="40"/>
        </w:rPr>
        <w:t> </w:t>
      </w:r>
      <w:r>
        <w:rPr/>
        <w:t>implement</w:t>
      </w:r>
      <w:r>
        <w:rPr>
          <w:spacing w:val="40"/>
        </w:rPr>
        <w:t> </w:t>
      </w:r>
      <w:r>
        <w:rPr/>
        <w:t>a</w:t>
      </w:r>
      <w:r>
        <w:rPr>
          <w:spacing w:val="40"/>
        </w:rPr>
        <w:t> </w:t>
      </w:r>
      <w:r>
        <w:rPr/>
        <w:t>multi-agent</w:t>
      </w:r>
      <w:r>
        <w:rPr>
          <w:spacing w:val="40"/>
        </w:rPr>
        <w:t> </w:t>
      </w:r>
      <w:r>
        <w:rPr/>
        <w:t>framework</w:t>
      </w:r>
      <w:r>
        <w:rPr>
          <w:spacing w:val="40"/>
        </w:rPr>
        <w:t> </w:t>
      </w:r>
      <w:r>
        <w:rPr/>
        <w:t>in</w:t>
      </w:r>
      <w:r>
        <w:rPr>
          <w:spacing w:val="40"/>
        </w:rPr>
        <w:t> </w:t>
      </w:r>
      <w:r>
        <w:rPr/>
        <w:t>which</w:t>
      </w:r>
      <w:r>
        <w:rPr>
          <w:spacing w:val="40"/>
        </w:rPr>
        <w:t> </w:t>
      </w:r>
      <w:r>
        <w:rPr/>
        <w:t>six</w:t>
      </w:r>
      <w:r>
        <w:rPr>
          <w:spacing w:val="40"/>
        </w:rPr>
        <w:t> </w:t>
      </w:r>
      <w:r>
        <w:rPr/>
        <w:t>specialised</w:t>
      </w:r>
      <w:r>
        <w:rPr>
          <w:spacing w:val="40"/>
        </w:rPr>
        <w:t> </w:t>
      </w:r>
      <w:r>
        <w:rPr/>
        <w:t>AI</w:t>
      </w:r>
      <w:r>
        <w:rPr>
          <w:spacing w:val="44"/>
        </w:rPr>
        <w:t> </w:t>
      </w:r>
      <w:r>
        <w:rPr/>
        <w:t>agents independently analyse distinct dimensions of circular economy performance.</w:t>
      </w:r>
    </w:p>
    <w:p>
      <w:pPr>
        <w:pStyle w:val="BodyText"/>
        <w:spacing w:after="0" w:line="312" w:lineRule="auto"/>
        <w:sectPr>
          <w:pgSz w:w="11910" w:h="16840"/>
          <w:pgMar w:header="0" w:footer="626" w:top="1480" w:bottom="820" w:left="1275" w:right="1275"/>
        </w:sectPr>
      </w:pPr>
    </w:p>
    <w:p>
      <w:pPr>
        <w:pStyle w:val="BodyText"/>
        <w:spacing w:before="42"/>
        <w:ind w:left="189"/>
      </w:pPr>
      <w:r>
        <w:rPr>
          <w:spacing w:val="-5"/>
        </w:rPr>
        <w:t>(ii</w:t>
      </w:r>
    </w:p>
    <w:p>
      <w:pPr>
        <w:spacing w:before="84"/>
        <w:ind w:left="189" w:right="0" w:firstLine="0"/>
        <w:jc w:val="left"/>
        <w:rPr>
          <w:sz w:val="24"/>
        </w:rPr>
      </w:pPr>
      <w:r>
        <w:rPr>
          <w:spacing w:val="-10"/>
          <w:sz w:val="24"/>
        </w:rPr>
        <w:t>)</w:t>
      </w:r>
    </w:p>
    <w:p>
      <w:pPr>
        <w:pStyle w:val="BodyText"/>
        <w:spacing w:before="124"/>
        <w:ind w:left="189"/>
      </w:pPr>
      <w:r>
        <w:rPr>
          <w:spacing w:val="-5"/>
        </w:rPr>
        <w:t>(ii</w:t>
      </w:r>
    </w:p>
    <w:p>
      <w:pPr>
        <w:pStyle w:val="BodyText"/>
        <w:spacing w:before="84"/>
        <w:ind w:left="189"/>
      </w:pPr>
      <w:r>
        <w:rPr>
          <w:spacing w:val="-5"/>
        </w:rPr>
        <w:t>i)</w:t>
      </w:r>
    </w:p>
    <w:p>
      <w:pPr>
        <w:pStyle w:val="BodyText"/>
        <w:spacing w:before="124"/>
        <w:ind w:left="189"/>
      </w:pPr>
      <w:r>
        <w:rPr>
          <w:spacing w:val="-5"/>
        </w:rPr>
        <w:t>(i</w:t>
      </w:r>
    </w:p>
    <w:p>
      <w:pPr>
        <w:pStyle w:val="BodyText"/>
        <w:spacing w:before="84"/>
        <w:ind w:left="189"/>
      </w:pPr>
      <w:r>
        <w:rPr>
          <w:spacing w:val="-5"/>
        </w:rPr>
        <w:t>v)</w:t>
      </w:r>
    </w:p>
    <w:p>
      <w:pPr>
        <w:pStyle w:val="BodyText"/>
        <w:spacing w:before="124"/>
        <w:ind w:left="189"/>
      </w:pPr>
      <w:r>
        <w:rPr>
          <w:spacing w:val="-5"/>
        </w:rPr>
        <w:t>(v</w:t>
      </w:r>
    </w:p>
    <w:p>
      <w:pPr>
        <w:spacing w:before="84"/>
        <w:ind w:left="189" w:right="0" w:firstLine="0"/>
        <w:jc w:val="left"/>
        <w:rPr>
          <w:sz w:val="24"/>
        </w:rPr>
      </w:pPr>
      <w:r>
        <w:rPr>
          <w:spacing w:val="-10"/>
          <w:sz w:val="24"/>
        </w:rPr>
        <w:t>)</w:t>
      </w:r>
    </w:p>
    <w:p>
      <w:pPr>
        <w:pStyle w:val="BodyText"/>
        <w:spacing w:before="124"/>
        <w:ind w:left="189"/>
      </w:pPr>
      <w:r>
        <w:rPr>
          <w:spacing w:val="-5"/>
        </w:rPr>
        <w:t>(v</w:t>
      </w:r>
    </w:p>
    <w:p>
      <w:pPr>
        <w:pStyle w:val="BodyText"/>
        <w:spacing w:before="85"/>
        <w:ind w:left="189"/>
      </w:pPr>
      <w:r>
        <w:rPr>
          <w:spacing w:val="-5"/>
        </w:rPr>
        <w:t>i)</w:t>
      </w:r>
    </w:p>
    <w:p>
      <w:pPr>
        <w:pStyle w:val="BodyText"/>
        <w:spacing w:before="124"/>
        <w:ind w:left="189"/>
      </w:pPr>
      <w:r>
        <w:rPr>
          <w:spacing w:val="-5"/>
        </w:rPr>
        <w:t>(v</w:t>
      </w:r>
    </w:p>
    <w:p>
      <w:pPr>
        <w:pStyle w:val="BodyText"/>
        <w:spacing w:before="84"/>
        <w:ind w:left="189"/>
      </w:pPr>
      <w:r>
        <w:rPr>
          <w:spacing w:val="-5"/>
        </w:rPr>
        <w:t>ii)</w:t>
      </w:r>
    </w:p>
    <w:p>
      <w:pPr>
        <w:pStyle w:val="BodyText"/>
        <w:spacing w:line="312" w:lineRule="auto" w:before="124"/>
        <w:ind w:left="189" w:right="47"/>
      </w:pPr>
      <w:r>
        <w:rPr>
          <w:spacing w:val="-6"/>
        </w:rPr>
        <w:t>(v </w:t>
      </w:r>
      <w:r>
        <w:rPr>
          <w:spacing w:val="-5"/>
        </w:rPr>
        <w:t>iii</w:t>
      </w:r>
    </w:p>
    <w:p>
      <w:pPr>
        <w:spacing w:before="2"/>
        <w:ind w:left="189" w:right="0" w:firstLine="0"/>
        <w:jc w:val="left"/>
        <w:rPr>
          <w:sz w:val="24"/>
        </w:rPr>
      </w:pPr>
      <w:r>
        <w:rPr>
          <w:spacing w:val="-10"/>
          <w:sz w:val="24"/>
        </w:rPr>
        <w:t>)</w:t>
      </w:r>
    </w:p>
    <w:p>
      <w:pPr>
        <w:pStyle w:val="BodyText"/>
        <w:spacing w:line="312" w:lineRule="auto" w:before="42"/>
        <w:ind w:left="189"/>
      </w:pPr>
      <w:r>
        <w:rPr/>
        <w:br w:type="column"/>
      </w:r>
      <w:r>
        <w:rPr/>
        <w:t>Develop</w:t>
      </w:r>
      <w:r>
        <w:rPr>
          <w:spacing w:val="80"/>
          <w:w w:val="150"/>
        </w:rPr>
        <w:t> </w:t>
      </w:r>
      <w:r>
        <w:rPr/>
        <w:t>a</w:t>
      </w:r>
      <w:r>
        <w:rPr>
          <w:spacing w:val="80"/>
          <w:w w:val="150"/>
        </w:rPr>
        <w:t> </w:t>
      </w:r>
      <w:r>
        <w:rPr/>
        <w:t>Material</w:t>
      </w:r>
      <w:r>
        <w:rPr>
          <w:spacing w:val="80"/>
          <w:w w:val="150"/>
        </w:rPr>
        <w:t> </w:t>
      </w:r>
      <w:r>
        <w:rPr/>
        <w:t>Flow</w:t>
      </w:r>
      <w:r>
        <w:rPr>
          <w:spacing w:val="80"/>
          <w:w w:val="150"/>
        </w:rPr>
        <w:t> </w:t>
      </w:r>
      <w:r>
        <w:rPr/>
        <w:t>Analyst</w:t>
      </w:r>
      <w:r>
        <w:rPr>
          <w:spacing w:val="80"/>
          <w:w w:val="150"/>
        </w:rPr>
        <w:t> </w:t>
      </w:r>
      <w:r>
        <w:rPr/>
        <w:t>agent</w:t>
      </w:r>
      <w:r>
        <w:rPr>
          <w:spacing w:val="80"/>
          <w:w w:val="150"/>
        </w:rPr>
        <w:t> </w:t>
      </w:r>
      <w:r>
        <w:rPr/>
        <w:t>capable</w:t>
      </w:r>
      <w:r>
        <w:rPr>
          <w:spacing w:val="80"/>
          <w:w w:val="150"/>
        </w:rPr>
        <w:t> </w:t>
      </w:r>
      <w:r>
        <w:rPr/>
        <w:t>of</w:t>
      </w:r>
      <w:r>
        <w:rPr>
          <w:spacing w:val="80"/>
          <w:w w:val="150"/>
        </w:rPr>
        <w:t> </w:t>
      </w:r>
      <w:r>
        <w:rPr/>
        <w:t>mapping</w:t>
      </w:r>
      <w:r>
        <w:rPr>
          <w:spacing w:val="80"/>
          <w:w w:val="150"/>
        </w:rPr>
        <w:t> </w:t>
      </w:r>
      <w:r>
        <w:rPr/>
        <w:t>resource</w:t>
      </w:r>
      <w:r>
        <w:rPr>
          <w:spacing w:val="80"/>
          <w:w w:val="150"/>
        </w:rPr>
        <w:t> </w:t>
      </w:r>
      <w:r>
        <w:rPr/>
        <w:t>inputs, transformation stages, and waste output streams for a given product or facility.</w:t>
      </w:r>
    </w:p>
    <w:p>
      <w:pPr>
        <w:pStyle w:val="BodyText"/>
        <w:spacing w:line="312" w:lineRule="auto" w:before="43"/>
        <w:ind w:left="189"/>
      </w:pPr>
      <w:r>
        <w:rPr/>
        <w:t>Implement</w:t>
      </w:r>
      <w:r>
        <w:rPr>
          <w:spacing w:val="40"/>
        </w:rPr>
        <w:t> </w:t>
      </w:r>
      <w:r>
        <w:rPr/>
        <w:t>an</w:t>
      </w:r>
      <w:r>
        <w:rPr>
          <w:spacing w:val="40"/>
        </w:rPr>
        <w:t> </w:t>
      </w:r>
      <w:r>
        <w:rPr/>
        <w:t>LCA</w:t>
      </w:r>
      <w:r>
        <w:rPr>
          <w:spacing w:val="40"/>
        </w:rPr>
        <w:t> </w:t>
      </w:r>
      <w:r>
        <w:rPr/>
        <w:t>Scorer</w:t>
      </w:r>
      <w:r>
        <w:rPr>
          <w:spacing w:val="40"/>
        </w:rPr>
        <w:t> </w:t>
      </w:r>
      <w:r>
        <w:rPr/>
        <w:t>agent</w:t>
      </w:r>
      <w:r>
        <w:rPr>
          <w:spacing w:val="40"/>
        </w:rPr>
        <w:t> </w:t>
      </w:r>
      <w:r>
        <w:rPr/>
        <w:t>that</w:t>
      </w:r>
      <w:r>
        <w:rPr>
          <w:spacing w:val="40"/>
        </w:rPr>
        <w:t> </w:t>
      </w:r>
      <w:r>
        <w:rPr/>
        <w:t>quantifies</w:t>
      </w:r>
      <w:r>
        <w:rPr>
          <w:spacing w:val="40"/>
        </w:rPr>
        <w:t> </w:t>
      </w:r>
      <w:r>
        <w:rPr/>
        <w:t>Carbon</w:t>
      </w:r>
      <w:r>
        <w:rPr>
          <w:spacing w:val="40"/>
        </w:rPr>
        <w:t> </w:t>
      </w:r>
      <w:r>
        <w:rPr/>
        <w:t>Footprint,</w:t>
      </w:r>
      <w:r>
        <w:rPr>
          <w:spacing w:val="40"/>
        </w:rPr>
        <w:t> </w:t>
      </w:r>
      <w:r>
        <w:rPr/>
        <w:t>Water</w:t>
      </w:r>
      <w:r>
        <w:rPr>
          <w:spacing w:val="40"/>
        </w:rPr>
        <w:t> </w:t>
      </w:r>
      <w:r>
        <w:rPr/>
        <w:t>Use,</w:t>
      </w:r>
      <w:r>
        <w:rPr>
          <w:spacing w:val="40"/>
        </w:rPr>
        <w:t> </w:t>
      </w:r>
      <w:r>
        <w:rPr/>
        <w:t>and Resource Depletion metrics on a standardised scale.</w:t>
      </w:r>
    </w:p>
    <w:p>
      <w:pPr>
        <w:pStyle w:val="BodyText"/>
        <w:spacing w:line="312" w:lineRule="auto" w:before="42"/>
        <w:ind w:left="189"/>
      </w:pPr>
      <w:r>
        <w:rPr/>
        <w:t>Build</w:t>
      </w:r>
      <w:r>
        <w:rPr>
          <w:spacing w:val="80"/>
        </w:rPr>
        <w:t> </w:t>
      </w:r>
      <w:r>
        <w:rPr/>
        <w:t>a</w:t>
      </w:r>
      <w:r>
        <w:rPr>
          <w:spacing w:val="80"/>
        </w:rPr>
        <w:t> </w:t>
      </w:r>
      <w:r>
        <w:rPr/>
        <w:t>Circularity</w:t>
      </w:r>
      <w:r>
        <w:rPr>
          <w:spacing w:val="80"/>
        </w:rPr>
        <w:t> </w:t>
      </w:r>
      <w:r>
        <w:rPr/>
        <w:t>Gap</w:t>
      </w:r>
      <w:r>
        <w:rPr>
          <w:spacing w:val="80"/>
        </w:rPr>
        <w:t> </w:t>
      </w:r>
      <w:r>
        <w:rPr/>
        <w:t>Evaluator</w:t>
      </w:r>
      <w:r>
        <w:rPr>
          <w:spacing w:val="80"/>
        </w:rPr>
        <w:t> </w:t>
      </w:r>
      <w:r>
        <w:rPr/>
        <w:t>that</w:t>
      </w:r>
      <w:r>
        <w:rPr>
          <w:spacing w:val="80"/>
        </w:rPr>
        <w:t> </w:t>
      </w:r>
      <w:r>
        <w:rPr/>
        <w:t>rates</w:t>
      </w:r>
      <w:r>
        <w:rPr>
          <w:spacing w:val="80"/>
        </w:rPr>
        <w:t> </w:t>
      </w:r>
      <w:r>
        <w:rPr/>
        <w:t>circularity</w:t>
      </w:r>
      <w:r>
        <w:rPr>
          <w:spacing w:val="80"/>
        </w:rPr>
        <w:t> </w:t>
      </w:r>
      <w:r>
        <w:rPr/>
        <w:t>performance</w:t>
      </w:r>
      <w:r>
        <w:rPr>
          <w:spacing w:val="80"/>
        </w:rPr>
        <w:t> </w:t>
      </w:r>
      <w:r>
        <w:rPr/>
        <w:t>against</w:t>
      </w:r>
      <w:r>
        <w:rPr>
          <w:spacing w:val="80"/>
        </w:rPr>
        <w:t> </w:t>
      </w:r>
      <w:r>
        <w:rPr/>
        <w:t>the established 10R waste hierarchy framework.</w:t>
      </w:r>
    </w:p>
    <w:p>
      <w:pPr>
        <w:pStyle w:val="BodyText"/>
        <w:spacing w:line="312" w:lineRule="auto" w:before="43"/>
        <w:ind w:left="189"/>
      </w:pPr>
      <w:r>
        <w:rPr/>
        <w:t>Create</w:t>
      </w:r>
      <w:r>
        <w:rPr>
          <w:spacing w:val="80"/>
        </w:rPr>
        <w:t> </w:t>
      </w:r>
      <w:r>
        <w:rPr/>
        <w:t>an</w:t>
      </w:r>
      <w:r>
        <w:rPr>
          <w:spacing w:val="80"/>
        </w:rPr>
        <w:t> </w:t>
      </w:r>
      <w:r>
        <w:rPr/>
        <w:t>Industrial</w:t>
      </w:r>
      <w:r>
        <w:rPr>
          <w:spacing w:val="80"/>
        </w:rPr>
        <w:t> </w:t>
      </w:r>
      <w:r>
        <w:rPr/>
        <w:t>Ecology</w:t>
      </w:r>
      <w:r>
        <w:rPr>
          <w:spacing w:val="80"/>
        </w:rPr>
        <w:t> </w:t>
      </w:r>
      <w:r>
        <w:rPr/>
        <w:t>Specialist</w:t>
      </w:r>
      <w:r>
        <w:rPr>
          <w:spacing w:val="80"/>
        </w:rPr>
        <w:t> </w:t>
      </w:r>
      <w:r>
        <w:rPr/>
        <w:t>agent</w:t>
      </w:r>
      <w:r>
        <w:rPr>
          <w:spacing w:val="80"/>
        </w:rPr>
        <w:t> </w:t>
      </w:r>
      <w:r>
        <w:rPr/>
        <w:t>that</w:t>
      </w:r>
      <w:r>
        <w:rPr>
          <w:spacing w:val="80"/>
        </w:rPr>
        <w:t> </w:t>
      </w:r>
      <w:r>
        <w:rPr/>
        <w:t>identifies</w:t>
      </w:r>
      <w:r>
        <w:rPr>
          <w:spacing w:val="80"/>
        </w:rPr>
        <w:t> </w:t>
      </w:r>
      <w:r>
        <w:rPr/>
        <w:t>potential</w:t>
      </w:r>
      <w:r>
        <w:rPr>
          <w:spacing w:val="80"/>
        </w:rPr>
        <w:t> </w:t>
      </w:r>
      <w:r>
        <w:rPr/>
        <w:t>industrial symbiosis partners for residual waste streams.</w:t>
      </w:r>
    </w:p>
    <w:p>
      <w:pPr>
        <w:pStyle w:val="BodyText"/>
        <w:spacing w:line="312" w:lineRule="auto" w:before="42"/>
        <w:ind w:left="189"/>
      </w:pPr>
      <w:r>
        <w:rPr/>
        <w:t>Integrate</w:t>
      </w:r>
      <w:r>
        <w:rPr>
          <w:spacing w:val="-1"/>
        </w:rPr>
        <w:t> </w:t>
      </w:r>
      <w:r>
        <w:rPr/>
        <w:t>an</w:t>
      </w:r>
      <w:r>
        <w:rPr>
          <w:spacing w:val="-1"/>
        </w:rPr>
        <w:t> </w:t>
      </w:r>
      <w:r>
        <w:rPr/>
        <w:t>ISO</w:t>
      </w:r>
      <w:r>
        <w:rPr>
          <w:spacing w:val="-1"/>
        </w:rPr>
        <w:t> </w:t>
      </w:r>
      <w:r>
        <w:rPr/>
        <w:t>14000</w:t>
      </w:r>
      <w:r>
        <w:rPr>
          <w:spacing w:val="-1"/>
        </w:rPr>
        <w:t> </w:t>
      </w:r>
      <w:r>
        <w:rPr/>
        <w:t>Compliance</w:t>
      </w:r>
      <w:r>
        <w:rPr>
          <w:spacing w:val="-1"/>
        </w:rPr>
        <w:t> </w:t>
      </w:r>
      <w:r>
        <w:rPr/>
        <w:t>Officer</w:t>
      </w:r>
      <w:r>
        <w:rPr>
          <w:spacing w:val="-1"/>
        </w:rPr>
        <w:t> </w:t>
      </w:r>
      <w:r>
        <w:rPr/>
        <w:t>agent</w:t>
      </w:r>
      <w:r>
        <w:rPr>
          <w:spacing w:val="-1"/>
        </w:rPr>
        <w:t> </w:t>
      </w:r>
      <w:r>
        <w:rPr/>
        <w:t>that</w:t>
      </w:r>
      <w:r>
        <w:rPr>
          <w:spacing w:val="-1"/>
        </w:rPr>
        <w:t> </w:t>
      </w:r>
      <w:r>
        <w:rPr/>
        <w:t>performs</w:t>
      </w:r>
      <w:r>
        <w:rPr>
          <w:spacing w:val="-1"/>
        </w:rPr>
        <w:t> </w:t>
      </w:r>
      <w:r>
        <w:rPr/>
        <w:t>automated</w:t>
      </w:r>
      <w:r>
        <w:rPr>
          <w:spacing w:val="-1"/>
        </w:rPr>
        <w:t> </w:t>
      </w:r>
      <w:r>
        <w:rPr/>
        <w:t>gap</w:t>
      </w:r>
      <w:r>
        <w:rPr>
          <w:spacing w:val="-1"/>
        </w:rPr>
        <w:t> </w:t>
      </w:r>
      <w:r>
        <w:rPr/>
        <w:t>analysis against ISO 14001, 14040, and 14044 clauses.</w:t>
      </w:r>
    </w:p>
    <w:p>
      <w:pPr>
        <w:pStyle w:val="BodyText"/>
        <w:spacing w:line="312" w:lineRule="auto" w:before="43"/>
        <w:ind w:left="189"/>
      </w:pPr>
      <w:r>
        <w:rPr/>
        <w:t>Deploy</w:t>
      </w:r>
      <w:r>
        <w:rPr>
          <w:spacing w:val="80"/>
        </w:rPr>
        <w:t> </w:t>
      </w:r>
      <w:r>
        <w:rPr/>
        <w:t>an</w:t>
      </w:r>
      <w:r>
        <w:rPr>
          <w:spacing w:val="80"/>
        </w:rPr>
        <w:t> </w:t>
      </w:r>
      <w:r>
        <w:rPr/>
        <w:t>SDG</w:t>
      </w:r>
      <w:r>
        <w:rPr>
          <w:spacing w:val="80"/>
        </w:rPr>
        <w:t> </w:t>
      </w:r>
      <w:r>
        <w:rPr/>
        <w:t>Policy</w:t>
      </w:r>
      <w:r>
        <w:rPr>
          <w:spacing w:val="80"/>
        </w:rPr>
        <w:t> </w:t>
      </w:r>
      <w:r>
        <w:rPr/>
        <w:t>Evaluator</w:t>
      </w:r>
      <w:r>
        <w:rPr>
          <w:spacing w:val="80"/>
        </w:rPr>
        <w:t> </w:t>
      </w:r>
      <w:r>
        <w:rPr/>
        <w:t>that</w:t>
      </w:r>
      <w:r>
        <w:rPr>
          <w:spacing w:val="80"/>
        </w:rPr>
        <w:t> </w:t>
      </w:r>
      <w:r>
        <w:rPr/>
        <w:t>scores</w:t>
      </w:r>
      <w:r>
        <w:rPr>
          <w:spacing w:val="80"/>
        </w:rPr>
        <w:t> </w:t>
      </w:r>
      <w:r>
        <w:rPr/>
        <w:t>alignment</w:t>
      </w:r>
      <w:r>
        <w:rPr>
          <w:spacing w:val="80"/>
        </w:rPr>
        <w:t> </w:t>
      </w:r>
      <w:r>
        <w:rPr/>
        <w:t>with</w:t>
      </w:r>
      <w:r>
        <w:rPr>
          <w:spacing w:val="80"/>
        </w:rPr>
        <w:t> </w:t>
      </w:r>
      <w:r>
        <w:rPr/>
        <w:t>UN</w:t>
      </w:r>
      <w:r>
        <w:rPr>
          <w:spacing w:val="80"/>
        </w:rPr>
        <w:t> </w:t>
      </w:r>
      <w:r>
        <w:rPr/>
        <w:t>Sustainable</w:t>
      </w:r>
      <w:r>
        <w:rPr>
          <w:spacing w:val="80"/>
        </w:rPr>
        <w:t> </w:t>
      </w:r>
      <w:r>
        <w:rPr/>
        <w:t>Development Goals 11, 12, and 13 and estimates carbon credit values.</w:t>
      </w:r>
    </w:p>
    <w:p>
      <w:pPr>
        <w:pStyle w:val="BodyText"/>
        <w:spacing w:line="312" w:lineRule="auto" w:before="42"/>
        <w:ind w:left="189"/>
      </w:pPr>
      <w:r>
        <w:rPr/>
        <w:t>Deliver</w:t>
      </w:r>
      <w:r>
        <w:rPr>
          <w:spacing w:val="-1"/>
        </w:rPr>
        <w:t> </w:t>
      </w:r>
      <w:r>
        <w:rPr/>
        <w:t>the</w:t>
      </w:r>
      <w:r>
        <w:rPr>
          <w:spacing w:val="-1"/>
        </w:rPr>
        <w:t> </w:t>
      </w:r>
      <w:r>
        <w:rPr/>
        <w:t>system</w:t>
      </w:r>
      <w:r>
        <w:rPr>
          <w:spacing w:val="-1"/>
        </w:rPr>
        <w:t> </w:t>
      </w:r>
      <w:r>
        <w:rPr/>
        <w:t>as</w:t>
      </w:r>
      <w:r>
        <w:rPr>
          <w:spacing w:val="-1"/>
        </w:rPr>
        <w:t> </w:t>
      </w:r>
      <w:r>
        <w:rPr/>
        <w:t>a</w:t>
      </w:r>
      <w:r>
        <w:rPr>
          <w:spacing w:val="-1"/>
        </w:rPr>
        <w:t> </w:t>
      </w:r>
      <w:r>
        <w:rPr/>
        <w:t>full-stack</w:t>
      </w:r>
      <w:r>
        <w:rPr>
          <w:spacing w:val="-1"/>
        </w:rPr>
        <w:t> </w:t>
      </w:r>
      <w:r>
        <w:rPr/>
        <w:t>web</w:t>
      </w:r>
      <w:r>
        <w:rPr>
          <w:spacing w:val="-1"/>
        </w:rPr>
        <w:t> </w:t>
      </w:r>
      <w:r>
        <w:rPr/>
        <w:t>application</w:t>
      </w:r>
      <w:r>
        <w:rPr>
          <w:spacing w:val="-1"/>
        </w:rPr>
        <w:t> </w:t>
      </w:r>
      <w:r>
        <w:rPr/>
        <w:t>with</w:t>
      </w:r>
      <w:r>
        <w:rPr>
          <w:spacing w:val="-1"/>
        </w:rPr>
        <w:t> </w:t>
      </w:r>
      <w:r>
        <w:rPr/>
        <w:t>a</w:t>
      </w:r>
      <w:r>
        <w:rPr>
          <w:spacing w:val="-1"/>
        </w:rPr>
        <w:t> </w:t>
      </w:r>
      <w:r>
        <w:rPr/>
        <w:t>Python</w:t>
      </w:r>
      <w:r>
        <w:rPr>
          <w:spacing w:val="-1"/>
        </w:rPr>
        <w:t> </w:t>
      </w:r>
      <w:r>
        <w:rPr/>
        <w:t>FastAPI</w:t>
      </w:r>
      <w:r>
        <w:rPr>
          <w:spacing w:val="-1"/>
        </w:rPr>
        <w:t> </w:t>
      </w:r>
      <w:r>
        <w:rPr/>
        <w:t>backend</w:t>
      </w:r>
      <w:r>
        <w:rPr>
          <w:spacing w:val="-1"/>
        </w:rPr>
        <w:t> </w:t>
      </w:r>
      <w:r>
        <w:rPr/>
        <w:t>and</w:t>
      </w:r>
      <w:r>
        <w:rPr>
          <w:spacing w:val="-1"/>
        </w:rPr>
        <w:t> </w:t>
      </w:r>
      <w:r>
        <w:rPr/>
        <w:t>a React frontend dashboard.</w:t>
      </w:r>
    </w:p>
    <w:p>
      <w:pPr>
        <w:pStyle w:val="BodyText"/>
        <w:spacing w:after="0" w:line="312" w:lineRule="auto"/>
        <w:sectPr>
          <w:type w:val="continuous"/>
          <w:pgSz w:w="11910" w:h="16840"/>
          <w:pgMar w:header="0" w:footer="626" w:top="1920" w:bottom="820" w:left="1275" w:right="1275"/>
          <w:cols w:num="2" w:equalWidth="0">
            <w:col w:w="444" w:space="60"/>
            <w:col w:w="8856"/>
          </w:cols>
        </w:sectPr>
      </w:pPr>
    </w:p>
    <w:p>
      <w:pPr>
        <w:pStyle w:val="BodyText"/>
        <w:spacing w:before="128"/>
      </w:pPr>
    </w:p>
    <w:p>
      <w:pPr>
        <w:pStyle w:val="Heading2"/>
        <w:numPr>
          <w:ilvl w:val="1"/>
          <w:numId w:val="7"/>
        </w:numPr>
        <w:tabs>
          <w:tab w:pos="645" w:val="left" w:leader="none"/>
        </w:tabs>
        <w:spacing w:line="240" w:lineRule="auto" w:before="0" w:after="0"/>
        <w:ind w:left="645" w:right="0" w:hanging="360"/>
        <w:jc w:val="left"/>
      </w:pPr>
      <w:bookmarkStart w:name="_TOC_250021" w:id="8"/>
      <w:r>
        <w:rPr/>
        <w:t>Scope and </w:t>
      </w:r>
      <w:bookmarkEnd w:id="8"/>
      <w:r>
        <w:rPr>
          <w:spacing w:val="-2"/>
        </w:rPr>
        <w:t>Limitations</w:t>
      </w:r>
    </w:p>
    <w:p>
      <w:pPr>
        <w:pStyle w:val="BodyText"/>
        <w:spacing w:line="312" w:lineRule="auto" w:before="204"/>
        <w:ind w:left="285" w:right="283"/>
        <w:jc w:val="both"/>
      </w:pPr>
      <w:r>
        <w:rPr/>
        <w:t>The scope of MACEA encompasses the audit of products, supply chains, </w:t>
      </w:r>
      <w:r>
        <w:rPr/>
        <w:t>and manufacturing facilities through the lens of material flows, environmental impact metrics, circularity gap measurement, industrial symbiosis opportunity identification, ISO 14000 compliance, and SDG alignment. The system is designed to be applicable across a wide range of industrial sectors, including manufacturing, chemical processing, and logistics.</w:t>
      </w:r>
    </w:p>
    <w:p>
      <w:pPr>
        <w:pStyle w:val="BodyText"/>
        <w:spacing w:line="312" w:lineRule="auto" w:before="246"/>
        <w:ind w:left="285" w:right="284"/>
        <w:jc w:val="both"/>
      </w:pPr>
      <w:r>
        <w:rPr/>
        <w:t>Several limitations are acknowledged. First, the accuracy of agent outputs is contingent on the quality and specificity of input data provided by the user. Second, industrial symbiosis partner identification relies on regional databases that may not be exhaustive. Third, </w:t>
      </w:r>
      <w:r>
        <w:rPr/>
        <w:t>while the framework supports extensible agent replacement, the current implementation is validated only for the six designated agent roles. Fourth, carbon credit estimations produced by the SDG Policy Evaluator are indicative rather than certifiable and should not be used as the sole basis for carbon market transactions.</w:t>
      </w:r>
    </w:p>
    <w:p>
      <w:pPr>
        <w:pStyle w:val="BodyText"/>
        <w:spacing w:after="0" w:line="312" w:lineRule="auto"/>
        <w:jc w:val="both"/>
        <w:sectPr>
          <w:type w:val="continuous"/>
          <w:pgSz w:w="11910" w:h="16840"/>
          <w:pgMar w:header="0" w:footer="626" w:top="1920" w:bottom="820" w:left="1275" w:right="1275"/>
        </w:sectPr>
      </w:pPr>
    </w:p>
    <w:p>
      <w:pPr>
        <w:pStyle w:val="Heading1"/>
        <w:spacing w:line="566" w:lineRule="auto"/>
        <w:ind w:left="3133" w:right="3131" w:hanging="1"/>
      </w:pPr>
      <w:bookmarkStart w:name="_TOC_250020" w:id="9"/>
      <w:r>
        <w:rPr/>
        <w:t>CHAPTER 2 LITERATURE</w:t>
      </w:r>
      <w:r>
        <w:rPr>
          <w:spacing w:val="-18"/>
        </w:rPr>
        <w:t> </w:t>
      </w:r>
      <w:bookmarkEnd w:id="9"/>
      <w:r>
        <w:rPr/>
        <w:t>REVIEW</w:t>
      </w:r>
    </w:p>
    <w:p>
      <w:pPr>
        <w:spacing w:line="20" w:lineRule="exact"/>
        <w:ind w:left="285" w:right="0" w:firstLine="0"/>
        <w:rPr>
          <w:sz w:val="2"/>
        </w:rPr>
      </w:pPr>
      <w:r>
        <w:rPr>
          <w:sz w:val="2"/>
        </w:rPr>
        <mc:AlternateContent>
          <mc:Choice Requires="wps">
            <w:drawing>
              <wp:inline distT="0" distB="0" distL="0" distR="0">
                <wp:extent cx="5579110" cy="6350"/>
                <wp:effectExtent l="9525" t="0" r="2539" b="3175"/>
                <wp:docPr id="10" name="Group 10"/>
                <wp:cNvGraphicFramePr>
                  <a:graphicFrameLocks/>
                </wp:cNvGraphicFramePr>
                <a:graphic>
                  <a:graphicData uri="http://schemas.microsoft.com/office/word/2010/wordprocessingGroup">
                    <wpg:wgp>
                      <wpg:cNvPr id="10" name="Group 10"/>
                      <wpg:cNvGrpSpPr/>
                      <wpg:grpSpPr>
                        <a:xfrm>
                          <a:off x="0" y="0"/>
                          <a:ext cx="5579110" cy="6350"/>
                          <a:chExt cx="5579110" cy="6350"/>
                        </a:xfrm>
                      </wpg:grpSpPr>
                      <wps:wsp>
                        <wps:cNvPr id="11" name="Graphic 11"/>
                        <wps:cNvSpPr/>
                        <wps:spPr>
                          <a:xfrm>
                            <a:off x="0" y="3175"/>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3pt;height:.5pt;mso-position-horizontal-relative:char;mso-position-vertical-relative:line" id="docshapegroup8" coordorigin="0,0" coordsize="8786,10">
                <v:line style="position:absolute" from="0,5" to="8786,5" stroked="true" strokeweight=".5pt" strokecolor="#000000">
                  <v:stroke dashstyle="solid"/>
                </v:line>
              </v:group>
            </w:pict>
          </mc:Fallback>
        </mc:AlternateContent>
      </w:r>
      <w:r>
        <w:rPr>
          <w:sz w:val="2"/>
        </w:rPr>
      </w:r>
    </w:p>
    <w:p>
      <w:pPr>
        <w:pStyle w:val="BodyText"/>
        <w:spacing w:before="228"/>
        <w:rPr>
          <w:b/>
        </w:rPr>
      </w:pPr>
    </w:p>
    <w:p>
      <w:pPr>
        <w:pStyle w:val="Heading2"/>
        <w:numPr>
          <w:ilvl w:val="1"/>
          <w:numId w:val="8"/>
        </w:numPr>
        <w:tabs>
          <w:tab w:pos="645" w:val="left" w:leader="none"/>
        </w:tabs>
        <w:spacing w:line="240" w:lineRule="auto" w:before="0" w:after="0"/>
        <w:ind w:left="645" w:right="0" w:hanging="360"/>
        <w:jc w:val="left"/>
      </w:pPr>
      <w:bookmarkStart w:name="_TOC_250019" w:id="10"/>
      <w:r>
        <w:rPr/>
        <w:t>Circular Economy </w:t>
      </w:r>
      <w:bookmarkEnd w:id="10"/>
      <w:r>
        <w:rPr>
          <w:spacing w:val="-2"/>
        </w:rPr>
        <w:t>Frameworks</w:t>
      </w:r>
    </w:p>
    <w:p>
      <w:pPr>
        <w:pStyle w:val="BodyText"/>
        <w:spacing w:line="312" w:lineRule="auto" w:before="204"/>
        <w:ind w:left="285" w:right="283"/>
        <w:jc w:val="both"/>
      </w:pPr>
      <w:r>
        <w:rPr/>
        <w:t>The concept of the circular economy has evolved through contributions from </w:t>
      </w:r>
      <w:r>
        <w:rPr/>
        <w:t>industrial ecology, cradle-to-cradle design, biomimicry, and the performance economy. The Ellen MacArthur Foundation codified many of these ideas into the modern circular economy framework, emphasising the importance of designing out waste and pollution, keeping products</w:t>
      </w:r>
      <w:r>
        <w:rPr>
          <w:spacing w:val="-2"/>
        </w:rPr>
        <w:t> </w:t>
      </w:r>
      <w:r>
        <w:rPr/>
        <w:t>and</w:t>
      </w:r>
      <w:r>
        <w:rPr>
          <w:spacing w:val="-2"/>
        </w:rPr>
        <w:t> </w:t>
      </w:r>
      <w:r>
        <w:rPr/>
        <w:t>materials</w:t>
      </w:r>
      <w:r>
        <w:rPr>
          <w:spacing w:val="-2"/>
        </w:rPr>
        <w:t> </w:t>
      </w:r>
      <w:r>
        <w:rPr/>
        <w:t>in</w:t>
      </w:r>
      <w:r>
        <w:rPr>
          <w:spacing w:val="-2"/>
        </w:rPr>
        <w:t> </w:t>
      </w:r>
      <w:r>
        <w:rPr/>
        <w:t>use,</w:t>
      </w:r>
      <w:r>
        <w:rPr>
          <w:spacing w:val="-2"/>
        </w:rPr>
        <w:t> </w:t>
      </w:r>
      <w:r>
        <w:rPr/>
        <w:t>and</w:t>
      </w:r>
      <w:r>
        <w:rPr>
          <w:spacing w:val="-2"/>
        </w:rPr>
        <w:t> </w:t>
      </w:r>
      <w:r>
        <w:rPr/>
        <w:t>regenerating</w:t>
      </w:r>
      <w:r>
        <w:rPr>
          <w:spacing w:val="-2"/>
        </w:rPr>
        <w:t> </w:t>
      </w:r>
      <w:r>
        <w:rPr/>
        <w:t>natural</w:t>
      </w:r>
      <w:r>
        <w:rPr>
          <w:spacing w:val="-2"/>
        </w:rPr>
        <w:t> </w:t>
      </w:r>
      <w:r>
        <w:rPr/>
        <w:t>systems</w:t>
      </w:r>
      <w:r>
        <w:rPr>
          <w:spacing w:val="-2"/>
        </w:rPr>
        <w:t> </w:t>
      </w:r>
      <w:r>
        <w:rPr/>
        <w:t>[1].</w:t>
      </w:r>
      <w:r>
        <w:rPr>
          <w:spacing w:val="-2"/>
        </w:rPr>
        <w:t> </w:t>
      </w:r>
      <w:r>
        <w:rPr/>
        <w:t>The</w:t>
      </w:r>
      <w:r>
        <w:rPr>
          <w:spacing w:val="-2"/>
        </w:rPr>
        <w:t> </w:t>
      </w:r>
      <w:r>
        <w:rPr/>
        <w:t>10R</w:t>
      </w:r>
      <w:r>
        <w:rPr>
          <w:spacing w:val="-2"/>
        </w:rPr>
        <w:t> </w:t>
      </w:r>
      <w:r>
        <w:rPr/>
        <w:t>framework</w:t>
      </w:r>
      <w:r>
        <w:rPr>
          <w:spacing w:val="-2"/>
        </w:rPr>
        <w:t> </w:t>
      </w:r>
      <w:r>
        <w:rPr/>
        <w:t>— comprising Refuse, Rethink, Reduce, Reuse, Repair, Refurbish, Remanufacture, Repurpose, Recycle, and Recover — provides a structured hierarchy for evaluating the circularity of products and business models, with strategies at the top of the hierarchy considered more circular than those at the bottom [2].</w:t>
      </w:r>
    </w:p>
    <w:p>
      <w:pPr>
        <w:pStyle w:val="BodyText"/>
        <w:spacing w:line="312" w:lineRule="auto" w:before="251"/>
        <w:ind w:left="285" w:right="283"/>
        <w:jc w:val="both"/>
      </w:pPr>
      <w:r>
        <w:rPr/>
        <w:t>Kirchherr, Reike, and Hekkert conducted a systematic review of circular </w:t>
      </w:r>
      <w:r>
        <w:rPr/>
        <w:t>economy definitions and found that most definitions converge on the principles of waste reduction, resource efficiency, and closed-loop material flows, though the operational interpretation varies considerably across sectors [3]. Measuring circularity has remained a challenge; proposed metrics include the Material Circularity Indicator developed by the Ellen MacArthur Foundation and Granta Design, as well as various sector-specific scoring systems [4].</w:t>
      </w:r>
    </w:p>
    <w:p>
      <w:pPr>
        <w:pStyle w:val="BodyText"/>
        <w:spacing w:before="13"/>
      </w:pPr>
    </w:p>
    <w:p>
      <w:pPr>
        <w:pStyle w:val="Heading2"/>
        <w:numPr>
          <w:ilvl w:val="1"/>
          <w:numId w:val="8"/>
        </w:numPr>
        <w:tabs>
          <w:tab w:pos="645" w:val="left" w:leader="none"/>
        </w:tabs>
        <w:spacing w:line="240" w:lineRule="auto" w:before="0" w:after="0"/>
        <w:ind w:left="645" w:right="0" w:hanging="360"/>
        <w:jc w:val="left"/>
      </w:pPr>
      <w:bookmarkStart w:name="_TOC_250018" w:id="11"/>
      <w:r>
        <w:rPr/>
        <w:t>Lifecycle Assessment </w:t>
      </w:r>
      <w:bookmarkEnd w:id="11"/>
      <w:r>
        <w:rPr>
          <w:spacing w:val="-2"/>
        </w:rPr>
        <w:t>Methodologies</w:t>
      </w:r>
    </w:p>
    <w:p>
      <w:pPr>
        <w:pStyle w:val="BodyText"/>
        <w:spacing w:line="312" w:lineRule="auto" w:before="204"/>
        <w:ind w:left="285" w:right="283"/>
        <w:jc w:val="both"/>
      </w:pPr>
      <w:r>
        <w:rPr/>
        <w:t>Lifecycle Assessment is a standardised methodology for quantifying the </w:t>
      </w:r>
      <w:r>
        <w:rPr/>
        <w:t>environmental impacts of a product, process, or service across its entire life — from raw material extraction to end-of-life disposal. ISO 14040 and ISO 14044 define the principles and requirements for conducting LCAs, specifying four phases: goal and scope definition, inventory analysis, impact assessment, and interpretation [5]. The methodology has been widely applied in sectors including automotive manufacturing, construction, food production, and electronics.</w:t>
      </w:r>
    </w:p>
    <w:p>
      <w:pPr>
        <w:pStyle w:val="BodyText"/>
        <w:spacing w:line="312" w:lineRule="auto" w:before="249"/>
        <w:ind w:left="285" w:right="283"/>
        <w:jc w:val="both"/>
      </w:pPr>
      <w:r>
        <w:rPr/>
        <w:t>Hauschild, Rosenbaum, and Olsen reviewed advances in LCA methodology </w:t>
      </w:r>
      <w:r>
        <w:rPr/>
        <w:t>and highlighted the growing importance of dynamic LCA, social LCA, and consequential LCA as extensions of the traditional attributional framework [6]. The integration of LCA into digital</w:t>
      </w:r>
      <w:r>
        <w:rPr>
          <w:spacing w:val="7"/>
        </w:rPr>
        <w:t> </w:t>
      </w:r>
      <w:r>
        <w:rPr/>
        <w:t>tools</w:t>
      </w:r>
      <w:r>
        <w:rPr>
          <w:spacing w:val="7"/>
        </w:rPr>
        <w:t> </w:t>
      </w:r>
      <w:r>
        <w:rPr/>
        <w:t>and</w:t>
      </w:r>
      <w:r>
        <w:rPr>
          <w:spacing w:val="7"/>
        </w:rPr>
        <w:t> </w:t>
      </w:r>
      <w:r>
        <w:rPr/>
        <w:t>enterprise</w:t>
      </w:r>
      <w:r>
        <w:rPr>
          <w:spacing w:val="7"/>
        </w:rPr>
        <w:t> </w:t>
      </w:r>
      <w:r>
        <w:rPr/>
        <w:t>software</w:t>
      </w:r>
      <w:r>
        <w:rPr>
          <w:spacing w:val="7"/>
        </w:rPr>
        <w:t> </w:t>
      </w:r>
      <w:r>
        <w:rPr/>
        <w:t>has</w:t>
      </w:r>
      <w:r>
        <w:rPr>
          <w:spacing w:val="7"/>
        </w:rPr>
        <w:t> </w:t>
      </w:r>
      <w:r>
        <w:rPr/>
        <w:t>accelerated</w:t>
      </w:r>
      <w:r>
        <w:rPr>
          <w:spacing w:val="7"/>
        </w:rPr>
        <w:t> </w:t>
      </w:r>
      <w:r>
        <w:rPr/>
        <w:t>with</w:t>
      </w:r>
      <w:r>
        <w:rPr>
          <w:spacing w:val="7"/>
        </w:rPr>
        <w:t> </w:t>
      </w:r>
      <w:r>
        <w:rPr/>
        <w:t>the</w:t>
      </w:r>
      <w:r>
        <w:rPr>
          <w:spacing w:val="7"/>
        </w:rPr>
        <w:t> </w:t>
      </w:r>
      <w:r>
        <w:rPr/>
        <w:t>adoption</w:t>
      </w:r>
      <w:r>
        <w:rPr>
          <w:spacing w:val="7"/>
        </w:rPr>
        <w:t> </w:t>
      </w:r>
      <w:r>
        <w:rPr/>
        <w:t>of</w:t>
      </w:r>
      <w:r>
        <w:rPr>
          <w:spacing w:val="7"/>
        </w:rPr>
        <w:t> </w:t>
      </w:r>
      <w:r>
        <w:rPr/>
        <w:t>cloud</w:t>
      </w:r>
      <w:r>
        <w:rPr>
          <w:spacing w:val="7"/>
        </w:rPr>
        <w:t> </w:t>
      </w:r>
      <w:r>
        <w:rPr>
          <w:spacing w:val="-2"/>
        </w:rPr>
        <w:t>computing,</w:t>
      </w:r>
    </w:p>
    <w:p>
      <w:pPr>
        <w:pStyle w:val="BodyText"/>
        <w:spacing w:after="0" w:line="312" w:lineRule="auto"/>
        <w:jc w:val="both"/>
        <w:sectPr>
          <w:pgSz w:w="11910" w:h="16840"/>
          <w:pgMar w:header="0" w:footer="626" w:top="1500" w:bottom="820" w:left="1275" w:right="1275"/>
        </w:sectPr>
      </w:pPr>
    </w:p>
    <w:p>
      <w:pPr>
        <w:pStyle w:val="BodyText"/>
        <w:spacing w:line="312" w:lineRule="auto" w:before="78"/>
        <w:ind w:left="285" w:right="284"/>
        <w:jc w:val="both"/>
      </w:pPr>
      <w:r>
        <w:rPr/>
        <w:t>enabling real-time impact calculation as a component of product design and supply chain management workflows.</w:t>
      </w:r>
    </w:p>
    <w:p>
      <w:pPr>
        <w:pStyle w:val="BodyText"/>
        <w:spacing w:before="6"/>
      </w:pPr>
    </w:p>
    <w:p>
      <w:pPr>
        <w:pStyle w:val="Heading2"/>
        <w:numPr>
          <w:ilvl w:val="1"/>
          <w:numId w:val="8"/>
        </w:numPr>
        <w:tabs>
          <w:tab w:pos="645" w:val="left" w:leader="none"/>
        </w:tabs>
        <w:spacing w:line="240" w:lineRule="auto" w:before="0" w:after="0"/>
        <w:ind w:left="645" w:right="0" w:hanging="360"/>
        <w:jc w:val="left"/>
      </w:pPr>
      <w:bookmarkStart w:name="_TOC_250017" w:id="12"/>
      <w:r>
        <w:rPr/>
        <w:t>Multi-Agent Systems in </w:t>
      </w:r>
      <w:bookmarkEnd w:id="12"/>
      <w:r>
        <w:rPr>
          <w:spacing w:val="-2"/>
        </w:rPr>
        <w:t>Sustainability</w:t>
      </w:r>
    </w:p>
    <w:p>
      <w:pPr>
        <w:pStyle w:val="BodyText"/>
        <w:spacing w:line="312" w:lineRule="auto" w:before="204"/>
        <w:ind w:left="285" w:right="283"/>
        <w:jc w:val="both"/>
      </w:pPr>
      <w:r>
        <w:rPr/>
        <w:t>Multi-agent systems consist of multiple interacting autonomous agents, each capable of perceiving their environment and acting upon it to achieve individual or collective goals. The application of multi-agent systems to sustainability and environmental management has</w:t>
      </w:r>
      <w:r>
        <w:rPr>
          <w:spacing w:val="-6"/>
        </w:rPr>
        <w:t> </w:t>
      </w:r>
      <w:r>
        <w:rPr/>
        <w:t>grown</w:t>
      </w:r>
      <w:r>
        <w:rPr>
          <w:spacing w:val="-6"/>
        </w:rPr>
        <w:t> </w:t>
      </w:r>
      <w:r>
        <w:rPr/>
        <w:t>substantially</w:t>
      </w:r>
      <w:r>
        <w:rPr>
          <w:spacing w:val="-6"/>
        </w:rPr>
        <w:t> </w:t>
      </w:r>
      <w:r>
        <w:rPr/>
        <w:t>with</w:t>
      </w:r>
      <w:r>
        <w:rPr>
          <w:spacing w:val="-6"/>
        </w:rPr>
        <w:t> </w:t>
      </w:r>
      <w:r>
        <w:rPr/>
        <w:t>the</w:t>
      </w:r>
      <w:r>
        <w:rPr>
          <w:spacing w:val="-6"/>
        </w:rPr>
        <w:t> </w:t>
      </w:r>
      <w:r>
        <w:rPr/>
        <w:t>advent</w:t>
      </w:r>
      <w:r>
        <w:rPr>
          <w:spacing w:val="-6"/>
        </w:rPr>
        <w:t> </w:t>
      </w:r>
      <w:r>
        <w:rPr/>
        <w:t>of</w:t>
      </w:r>
      <w:r>
        <w:rPr>
          <w:spacing w:val="-6"/>
        </w:rPr>
        <w:t> </w:t>
      </w:r>
      <w:r>
        <w:rPr/>
        <w:t>large</w:t>
      </w:r>
      <w:r>
        <w:rPr>
          <w:spacing w:val="-6"/>
        </w:rPr>
        <w:t> </w:t>
      </w:r>
      <w:r>
        <w:rPr/>
        <w:t>language</w:t>
      </w:r>
      <w:r>
        <w:rPr>
          <w:spacing w:val="-6"/>
        </w:rPr>
        <w:t> </w:t>
      </w:r>
      <w:r>
        <w:rPr/>
        <w:t>model</w:t>
      </w:r>
      <w:r>
        <w:rPr>
          <w:spacing w:val="-6"/>
        </w:rPr>
        <w:t> </w:t>
      </w:r>
      <w:r>
        <w:rPr/>
        <w:t>(LLM)-based</w:t>
      </w:r>
      <w:r>
        <w:rPr>
          <w:spacing w:val="-6"/>
        </w:rPr>
        <w:t> </w:t>
      </w:r>
      <w:r>
        <w:rPr/>
        <w:t>agents.</w:t>
      </w:r>
      <w:r>
        <w:rPr>
          <w:spacing w:val="-6"/>
        </w:rPr>
        <w:t> </w:t>
      </w:r>
      <w:r>
        <w:rPr/>
        <w:t>Prior work has explored agent-based modelling for simulating supply chain dynamics, energy grid optimisation, and climate policy impact assessment [7].</w:t>
      </w:r>
    </w:p>
    <w:p>
      <w:pPr>
        <w:pStyle w:val="BodyText"/>
        <w:spacing w:line="312" w:lineRule="auto" w:before="248"/>
        <w:ind w:left="285" w:right="283"/>
        <w:jc w:val="both"/>
      </w:pPr>
      <w:r>
        <w:rPr/>
        <w:t>Recent developments in LLM-powered agent frameworks — such as AutoGen, </w:t>
      </w:r>
      <w:r>
        <w:rPr/>
        <w:t>CrewAI, and LangGraph — have demonstrated that specialised agents with distinct roles can collaborate effectively on complex analytical tasks, with performance often exceeding that of a single generalised model [8]. The key advantage of multi-agent architectures in auditing contexts is the ability to run independent analyses in parallel, subsequently resolving conflicts through structured deliberation and synthesis protocols.</w:t>
      </w:r>
    </w:p>
    <w:p>
      <w:pPr>
        <w:pStyle w:val="BodyText"/>
        <w:spacing w:before="11"/>
      </w:pPr>
    </w:p>
    <w:p>
      <w:pPr>
        <w:pStyle w:val="Heading2"/>
        <w:numPr>
          <w:ilvl w:val="1"/>
          <w:numId w:val="8"/>
        </w:numPr>
        <w:tabs>
          <w:tab w:pos="645" w:val="left" w:leader="none"/>
        </w:tabs>
        <w:spacing w:line="240" w:lineRule="auto" w:before="0" w:after="0"/>
        <w:ind w:left="645" w:right="0" w:hanging="360"/>
        <w:jc w:val="left"/>
      </w:pPr>
      <w:bookmarkStart w:name="_TOC_250016" w:id="13"/>
      <w:r>
        <w:rPr/>
        <w:t>Industrial Ecology and </w:t>
      </w:r>
      <w:bookmarkEnd w:id="13"/>
      <w:r>
        <w:rPr>
          <w:spacing w:val="-2"/>
        </w:rPr>
        <w:t>Symbiosis</w:t>
      </w:r>
    </w:p>
    <w:p>
      <w:pPr>
        <w:pStyle w:val="BodyText"/>
        <w:spacing w:line="312" w:lineRule="auto" w:before="204"/>
        <w:ind w:left="285" w:right="283"/>
        <w:jc w:val="both"/>
      </w:pPr>
      <w:r>
        <w:rPr/>
        <w:t>Industrial ecology is a field that studies the flows of materials and energy in industrial </w:t>
      </w:r>
      <w:r>
        <w:rPr/>
        <w:t>and consumer activities, drawing analogies to natural ecosystems in which waste from one process becomes a resource for another. Industrial symbiosis, as exemplified by the Kalundborg Symbiosis in Denmark, refers to the collaborative exchange of by-products, waste heat, water, and other residuals between co-located or regionally proximate</w:t>
      </w:r>
      <w:r>
        <w:rPr>
          <w:spacing w:val="40"/>
        </w:rPr>
        <w:t> </w:t>
      </w:r>
      <w:r>
        <w:rPr/>
        <w:t>industries [9]. Identifying viable symbiosis partnerships requires knowledge of local industrial compositions, material compatibility, logistical feasibility, and regulatory </w:t>
      </w:r>
      <w:r>
        <w:rPr>
          <w:spacing w:val="-2"/>
        </w:rPr>
        <w:t>acceptability.</w:t>
      </w:r>
    </w:p>
    <w:p>
      <w:pPr>
        <w:pStyle w:val="BodyText"/>
        <w:spacing w:line="312" w:lineRule="auto" w:before="250"/>
        <w:ind w:left="285" w:right="283"/>
        <w:jc w:val="both"/>
      </w:pPr>
      <w:r>
        <w:rPr/>
        <w:t>Automated discovery of industrial symbiosis opportunities using database matching </w:t>
      </w:r>
      <w:r>
        <w:rPr/>
        <w:t>and machine learning has been explored in the literature. Approaches include graph-based matching algorithms, natural language processing of waste characterisation reports, and geographic information system (GIS) integration to account for transportation distances [10]. MACEA's Industrial Ecology Specialist agent builds on these approaches by leveraging the contextual reasoning capabilities of a large language model to interpret waste stream descriptions and suggest plausible partners.</w:t>
      </w:r>
    </w:p>
    <w:p>
      <w:pPr>
        <w:pStyle w:val="BodyText"/>
        <w:spacing w:after="0" w:line="312" w:lineRule="auto"/>
        <w:jc w:val="both"/>
        <w:sectPr>
          <w:pgSz w:w="11910" w:h="16840"/>
          <w:pgMar w:header="0" w:footer="626" w:top="1480" w:bottom="820" w:left="1275" w:right="1275"/>
        </w:sectPr>
      </w:pPr>
    </w:p>
    <w:p>
      <w:pPr>
        <w:spacing w:before="60"/>
        <w:ind w:left="0" w:right="0" w:firstLine="0"/>
        <w:jc w:val="center"/>
        <w:rPr>
          <w:b/>
          <w:sz w:val="28"/>
        </w:rPr>
      </w:pPr>
      <w:r>
        <w:rPr>
          <w:b/>
          <w:sz w:val="28"/>
        </w:rPr>
        <w:t>CHAPTER </w:t>
      </w:r>
      <w:r>
        <w:rPr>
          <w:b/>
          <w:spacing w:val="-10"/>
          <w:sz w:val="28"/>
        </w:rPr>
        <w:t>3</w:t>
      </w:r>
    </w:p>
    <w:p>
      <w:pPr>
        <w:pStyle w:val="BodyText"/>
        <w:spacing w:before="116"/>
        <w:rPr>
          <w:b/>
          <w:sz w:val="28"/>
        </w:rPr>
      </w:pPr>
    </w:p>
    <w:p>
      <w:pPr>
        <w:spacing w:before="1"/>
        <w:ind w:left="0" w:right="0" w:firstLine="0"/>
        <w:jc w:val="center"/>
        <w:rPr>
          <w:b/>
          <w:sz w:val="28"/>
        </w:rPr>
      </w:pPr>
      <w:r>
        <w:rPr>
          <w:b/>
          <w:sz w:val="28"/>
        </w:rPr>
        <w:t>SYSTEM ARCHITECTURE AND </w:t>
      </w:r>
      <w:r>
        <w:rPr>
          <w:b/>
          <w:spacing w:val="-2"/>
          <w:sz w:val="28"/>
        </w:rPr>
        <w:t>DESIGN</w:t>
      </w:r>
    </w:p>
    <w:p>
      <w:pPr>
        <w:pStyle w:val="BodyText"/>
        <w:spacing w:before="175"/>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990600</wp:posOffset>
                </wp:positionH>
                <wp:positionV relativeFrom="paragraph">
                  <wp:posOffset>272596</wp:posOffset>
                </wp:positionV>
                <wp:extent cx="557911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21.464302pt;width:439.3pt;height:.1pt;mso-position-horizontal-relative:page;mso-position-vertical-relative:paragraph;z-index:-15725056;mso-wrap-distance-left:0;mso-wrap-distance-right:0" id="docshape9" coordorigin="1560,429" coordsize="8786,0" path="m1560,429l10346,429e" filled="false" stroked="true" strokeweight=".5pt" strokecolor="#000000">
                <v:path arrowok="t"/>
                <v:stroke dashstyle="solid"/>
                <w10:wrap type="topAndBottom"/>
              </v:shape>
            </w:pict>
          </mc:Fallback>
        </mc:AlternateContent>
      </w:r>
    </w:p>
    <w:p>
      <w:pPr>
        <w:pStyle w:val="BodyText"/>
        <w:spacing w:before="250"/>
        <w:rPr>
          <w:b/>
        </w:rPr>
      </w:pPr>
    </w:p>
    <w:p>
      <w:pPr>
        <w:pStyle w:val="Heading2"/>
        <w:numPr>
          <w:ilvl w:val="1"/>
          <w:numId w:val="9"/>
        </w:numPr>
        <w:tabs>
          <w:tab w:pos="645" w:val="left" w:leader="none"/>
        </w:tabs>
        <w:spacing w:line="240" w:lineRule="auto" w:before="1" w:after="0"/>
        <w:ind w:left="645" w:right="0" w:hanging="360"/>
        <w:jc w:val="left"/>
      </w:pPr>
      <w:bookmarkStart w:name="_TOC_250015" w:id="14"/>
      <w:r>
        <w:rPr/>
        <w:t>Architectural </w:t>
      </w:r>
      <w:bookmarkEnd w:id="14"/>
      <w:r>
        <w:rPr>
          <w:spacing w:val="-2"/>
        </w:rPr>
        <w:t>Overview</w:t>
      </w:r>
    </w:p>
    <w:p>
      <w:pPr>
        <w:pStyle w:val="BodyText"/>
        <w:spacing w:line="312" w:lineRule="auto" w:before="204"/>
        <w:ind w:left="285" w:right="283"/>
        <w:jc w:val="both"/>
      </w:pPr>
      <w:r>
        <w:rPr/>
        <w:t>MACEA adopts a layered multi-agent architecture in which a central </w:t>
      </w:r>
      <w:r>
        <w:rPr/>
        <w:t>orchestrator coordinates six specialised agents, each assigned a distinct analytical domain. The orchestrator is responsible for distributing the audit input to all agents, monitoring their completion status, collecting their individual reports, and invoking the synthesis agent. All agent inference is performed through the Groq API, which provides low-latency access to large language models optimised for throughput-intensive workloads.</w:t>
      </w:r>
    </w:p>
    <w:p>
      <w:pPr>
        <w:pStyle w:val="BodyText"/>
        <w:spacing w:line="312" w:lineRule="auto" w:before="247"/>
        <w:ind w:left="285" w:right="283"/>
        <w:jc w:val="both"/>
      </w:pPr>
      <w:r>
        <w:rPr/>
        <w:t>The architecture is deliberately decoupled: each agent operates independently </w:t>
      </w:r>
      <w:r>
        <w:rPr/>
        <w:t>and communicates only through structured output artifacts rather than shared state, minimising inter-agent interference and simplifying the addition or replacement of individual agents. The orchestrator implements asynchronous execution using Python's asyncio library, enabling true parallel agent invocation and reducing total audit latency to approximately</w:t>
      </w:r>
      <w:r>
        <w:rPr>
          <w:spacing w:val="40"/>
        </w:rPr>
        <w:t> </w:t>
      </w:r>
      <w:r>
        <w:rPr/>
        <w:t>the duration of the slowest individual agent rather than the sum of all agent durations.</w:t>
      </w:r>
    </w:p>
    <w:p>
      <w:pPr>
        <w:pStyle w:val="BodyText"/>
        <w:spacing w:before="207" w:after="1"/>
        <w:rPr>
          <w:sz w:val="20"/>
        </w:rPr>
      </w:pPr>
    </w:p>
    <w:tbl>
      <w:tblPr>
        <w:tblW w:w="0" w:type="auto"/>
        <w:jc w:val="left"/>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16"/>
      </w:tblGrid>
      <w:tr>
        <w:trPr>
          <w:trHeight w:val="545" w:hRule="atLeast"/>
        </w:trPr>
        <w:tc>
          <w:tcPr>
            <w:tcW w:w="9216" w:type="dxa"/>
            <w:tcBorders>
              <w:bottom w:val="single" w:sz="4" w:space="0" w:color="808080"/>
            </w:tcBorders>
            <w:shd w:val="clear" w:color="auto" w:fill="D8E9D3"/>
          </w:tcPr>
          <w:p>
            <w:pPr>
              <w:pStyle w:val="TableParagraph"/>
              <w:spacing w:before="163"/>
              <w:ind w:left="20" w:right="1"/>
              <w:jc w:val="center"/>
              <w:rPr>
                <w:b/>
                <w:sz w:val="20"/>
              </w:rPr>
            </w:pPr>
            <w:r>
              <w:rPr>
                <w:b/>
                <w:spacing w:val="-2"/>
                <w:sz w:val="20"/>
              </w:rPr>
              <w:t>Orchestrator</w:t>
            </w:r>
          </w:p>
        </w:tc>
      </w:tr>
      <w:tr>
        <w:trPr>
          <w:trHeight w:val="790" w:hRule="atLeast"/>
        </w:trPr>
        <w:tc>
          <w:tcPr>
            <w:tcW w:w="9216" w:type="dxa"/>
            <w:tcBorders>
              <w:top w:val="single" w:sz="4" w:space="0" w:color="808080"/>
              <w:bottom w:val="single" w:sz="4" w:space="0" w:color="808080"/>
            </w:tcBorders>
            <w:shd w:val="clear" w:color="auto" w:fill="E8EFFD"/>
          </w:tcPr>
          <w:p>
            <w:pPr>
              <w:pStyle w:val="TableParagraph"/>
              <w:spacing w:line="249" w:lineRule="auto" w:before="168"/>
              <w:ind w:left="2846" w:hanging="2496"/>
              <w:rPr>
                <w:sz w:val="20"/>
              </w:rPr>
            </w:pPr>
            <w:r>
              <w:rPr>
                <w:sz w:val="20"/>
              </w:rPr>
              <w:t>Material</w:t>
            </w:r>
            <w:r>
              <w:rPr>
                <w:spacing w:val="-3"/>
                <w:sz w:val="20"/>
              </w:rPr>
              <w:t> </w:t>
            </w:r>
            <w:r>
              <w:rPr>
                <w:sz w:val="20"/>
              </w:rPr>
              <w:t>Flow</w:t>
            </w:r>
            <w:r>
              <w:rPr>
                <w:spacing w:val="-3"/>
                <w:sz w:val="20"/>
              </w:rPr>
              <w:t> </w:t>
            </w:r>
            <w:r>
              <w:rPr>
                <w:sz w:val="20"/>
              </w:rPr>
              <w:t>Analyst</w:t>
            </w:r>
            <w:r>
              <w:rPr>
                <w:spacing w:val="-3"/>
                <w:sz w:val="20"/>
              </w:rPr>
              <w:t> </w:t>
            </w:r>
            <w:r>
              <w:rPr>
                <w:sz w:val="20"/>
              </w:rPr>
              <w:t>|</w:t>
            </w:r>
            <w:r>
              <w:rPr>
                <w:spacing w:val="-3"/>
                <w:sz w:val="20"/>
              </w:rPr>
              <w:t> </w:t>
            </w:r>
            <w:r>
              <w:rPr>
                <w:sz w:val="20"/>
              </w:rPr>
              <w:t>LCA</w:t>
            </w:r>
            <w:r>
              <w:rPr>
                <w:spacing w:val="-3"/>
                <w:sz w:val="20"/>
              </w:rPr>
              <w:t> </w:t>
            </w:r>
            <w:r>
              <w:rPr>
                <w:sz w:val="20"/>
              </w:rPr>
              <w:t>Scorer</w:t>
            </w:r>
            <w:r>
              <w:rPr>
                <w:spacing w:val="-3"/>
                <w:sz w:val="20"/>
              </w:rPr>
              <w:t> </w:t>
            </w:r>
            <w:r>
              <w:rPr>
                <w:sz w:val="20"/>
              </w:rPr>
              <w:t>|</w:t>
            </w:r>
            <w:r>
              <w:rPr>
                <w:spacing w:val="-3"/>
                <w:sz w:val="20"/>
              </w:rPr>
              <w:t> </w:t>
            </w:r>
            <w:r>
              <w:rPr>
                <w:sz w:val="20"/>
              </w:rPr>
              <w:t>Circularity</w:t>
            </w:r>
            <w:r>
              <w:rPr>
                <w:spacing w:val="-3"/>
                <w:sz w:val="20"/>
              </w:rPr>
              <w:t> </w:t>
            </w:r>
            <w:r>
              <w:rPr>
                <w:sz w:val="20"/>
              </w:rPr>
              <w:t>Gap</w:t>
            </w:r>
            <w:r>
              <w:rPr>
                <w:spacing w:val="-3"/>
                <w:sz w:val="20"/>
              </w:rPr>
              <w:t> </w:t>
            </w:r>
            <w:r>
              <w:rPr>
                <w:sz w:val="20"/>
              </w:rPr>
              <w:t>Evaluator</w:t>
            </w:r>
            <w:r>
              <w:rPr>
                <w:spacing w:val="-3"/>
                <w:sz w:val="20"/>
              </w:rPr>
              <w:t> </w:t>
            </w:r>
            <w:r>
              <w:rPr>
                <w:sz w:val="20"/>
              </w:rPr>
              <w:t>Industrial</w:t>
            </w:r>
            <w:r>
              <w:rPr>
                <w:spacing w:val="-3"/>
                <w:sz w:val="20"/>
              </w:rPr>
              <w:t> </w:t>
            </w:r>
            <w:r>
              <w:rPr>
                <w:sz w:val="20"/>
              </w:rPr>
              <w:t>Ecology</w:t>
            </w:r>
            <w:r>
              <w:rPr>
                <w:spacing w:val="-3"/>
                <w:sz w:val="20"/>
              </w:rPr>
              <w:t> </w:t>
            </w:r>
            <w:r>
              <w:rPr>
                <w:sz w:val="20"/>
              </w:rPr>
              <w:t>Specialist</w:t>
            </w:r>
            <w:r>
              <w:rPr>
                <w:spacing w:val="-3"/>
                <w:sz w:val="20"/>
              </w:rPr>
              <w:t> </w:t>
            </w:r>
            <w:r>
              <w:rPr>
                <w:sz w:val="20"/>
              </w:rPr>
              <w:t>|</w:t>
            </w:r>
            <w:r>
              <w:rPr>
                <w:spacing w:val="-3"/>
                <w:sz w:val="20"/>
              </w:rPr>
              <w:t> </w:t>
            </w:r>
            <w:r>
              <w:rPr>
                <w:sz w:val="20"/>
              </w:rPr>
              <w:t>ISO</w:t>
            </w:r>
            <w:r>
              <w:rPr>
                <w:spacing w:val="-3"/>
                <w:sz w:val="20"/>
              </w:rPr>
              <w:t> </w:t>
            </w:r>
            <w:r>
              <w:rPr>
                <w:sz w:val="20"/>
              </w:rPr>
              <w:t>14000 Compliance Officer | SDG Policy Evaluator</w:t>
            </w:r>
          </w:p>
        </w:tc>
      </w:tr>
      <w:tr>
        <w:trPr>
          <w:trHeight w:val="545" w:hRule="atLeast"/>
        </w:trPr>
        <w:tc>
          <w:tcPr>
            <w:tcW w:w="9216" w:type="dxa"/>
            <w:tcBorders>
              <w:top w:val="single" w:sz="4" w:space="0" w:color="808080"/>
            </w:tcBorders>
            <w:shd w:val="clear" w:color="auto" w:fill="FBE4CD"/>
          </w:tcPr>
          <w:p>
            <w:pPr>
              <w:pStyle w:val="TableParagraph"/>
              <w:spacing w:before="154"/>
              <w:ind w:left="20"/>
              <w:jc w:val="center"/>
              <w:rPr>
                <w:b/>
                <w:sz w:val="20"/>
              </w:rPr>
            </w:pPr>
            <w:r>
              <w:rPr>
                <w:b/>
                <w:sz w:val="20"/>
              </w:rPr>
              <w:t>Synthesis Agent </w:t>
            </w:r>
            <w:r>
              <w:rPr>
                <w:rFonts w:ascii="Symbol" w:hAnsi="Symbol"/>
                <w:sz w:val="20"/>
              </w:rPr>
              <w:t></w:t>
            </w:r>
            <w:r>
              <w:rPr>
                <w:sz w:val="20"/>
              </w:rPr>
              <w:t> </w:t>
            </w:r>
            <w:r>
              <w:rPr>
                <w:b/>
                <w:sz w:val="20"/>
              </w:rPr>
              <w:t>Unified Audit </w:t>
            </w:r>
            <w:r>
              <w:rPr>
                <w:b/>
                <w:spacing w:val="-2"/>
                <w:sz w:val="20"/>
              </w:rPr>
              <w:t>Report</w:t>
            </w:r>
          </w:p>
        </w:tc>
      </w:tr>
    </w:tbl>
    <w:p>
      <w:pPr>
        <w:spacing w:before="3"/>
        <w:ind w:left="0" w:right="0" w:firstLine="0"/>
        <w:jc w:val="center"/>
        <w:rPr>
          <w:sz w:val="20"/>
        </w:rPr>
      </w:pPr>
      <w:r>
        <w:rPr>
          <w:sz w:val="20"/>
        </w:rPr>
        <w:t>Figure 3.1: MACEA Multi-Agent Architecture </w:t>
      </w:r>
      <w:r>
        <w:rPr>
          <w:spacing w:val="-2"/>
          <w:sz w:val="20"/>
        </w:rPr>
        <w:t>Diagram</w:t>
      </w:r>
    </w:p>
    <w:p>
      <w:pPr>
        <w:pStyle w:val="BodyText"/>
        <w:rPr>
          <w:sz w:val="20"/>
        </w:rPr>
      </w:pPr>
    </w:p>
    <w:p>
      <w:pPr>
        <w:pStyle w:val="BodyText"/>
        <w:spacing w:before="137"/>
        <w:rPr>
          <w:sz w:val="20"/>
        </w:rPr>
      </w:pPr>
    </w:p>
    <w:p>
      <w:pPr>
        <w:pStyle w:val="Heading2"/>
        <w:numPr>
          <w:ilvl w:val="1"/>
          <w:numId w:val="9"/>
        </w:numPr>
        <w:tabs>
          <w:tab w:pos="645" w:val="left" w:leader="none"/>
        </w:tabs>
        <w:spacing w:line="240" w:lineRule="auto" w:before="0" w:after="0"/>
        <w:ind w:left="645" w:right="0" w:hanging="360"/>
        <w:jc w:val="both"/>
      </w:pPr>
      <w:bookmarkStart w:name="_TOC_250014" w:id="15"/>
      <w:r>
        <w:rPr/>
        <w:t>Agent </w:t>
      </w:r>
      <w:bookmarkEnd w:id="15"/>
      <w:r>
        <w:rPr>
          <w:spacing w:val="-2"/>
        </w:rPr>
        <w:t>Descriptions</w:t>
      </w:r>
    </w:p>
    <w:p>
      <w:pPr>
        <w:pStyle w:val="ListParagraph"/>
        <w:numPr>
          <w:ilvl w:val="2"/>
          <w:numId w:val="9"/>
        </w:numPr>
        <w:tabs>
          <w:tab w:pos="825" w:val="left" w:leader="none"/>
        </w:tabs>
        <w:spacing w:line="240" w:lineRule="auto" w:before="244" w:after="0"/>
        <w:ind w:left="825" w:right="0" w:hanging="540"/>
        <w:jc w:val="both"/>
        <w:rPr>
          <w:b/>
          <w:sz w:val="24"/>
        </w:rPr>
      </w:pPr>
      <w:r>
        <w:rPr>
          <w:b/>
          <w:sz w:val="24"/>
        </w:rPr>
        <w:t>Material Flow </w:t>
      </w:r>
      <w:r>
        <w:rPr>
          <w:b/>
          <w:spacing w:val="-2"/>
          <w:sz w:val="24"/>
        </w:rPr>
        <w:t>Analyst</w:t>
      </w:r>
    </w:p>
    <w:p>
      <w:pPr>
        <w:pStyle w:val="BodyText"/>
        <w:spacing w:line="312" w:lineRule="auto" w:before="164"/>
        <w:ind w:left="285" w:right="283"/>
        <w:jc w:val="both"/>
      </w:pPr>
      <w:r>
        <w:rPr/>
        <w:t>The Material Flow Analyst is responsible for constructing a complete map of the material flows associated with the audited product, supply chain, or facility. This includes identifying and quantifying incoming resource streams (raw materials, water, energy), documenting transformation stages (processing, assembly, packaging), and </w:t>
      </w:r>
      <w:r>
        <w:rPr/>
        <w:t>characterising output streams (finished products, by-products, waste). The agent produces a structured material</w:t>
      </w:r>
      <w:r>
        <w:rPr>
          <w:spacing w:val="5"/>
        </w:rPr>
        <w:t> </w:t>
      </w:r>
      <w:r>
        <w:rPr/>
        <w:t>flow</w:t>
      </w:r>
      <w:r>
        <w:rPr>
          <w:spacing w:val="5"/>
        </w:rPr>
        <w:t> </w:t>
      </w:r>
      <w:r>
        <w:rPr/>
        <w:t>diagram</w:t>
      </w:r>
      <w:r>
        <w:rPr>
          <w:spacing w:val="5"/>
        </w:rPr>
        <w:t> </w:t>
      </w:r>
      <w:r>
        <w:rPr/>
        <w:t>description</w:t>
      </w:r>
      <w:r>
        <w:rPr>
          <w:spacing w:val="5"/>
        </w:rPr>
        <w:t> </w:t>
      </w:r>
      <w:r>
        <w:rPr/>
        <w:t>in</w:t>
      </w:r>
      <w:r>
        <w:rPr>
          <w:spacing w:val="5"/>
        </w:rPr>
        <w:t> </w:t>
      </w:r>
      <w:r>
        <w:rPr/>
        <w:t>its</w:t>
      </w:r>
      <w:r>
        <w:rPr>
          <w:spacing w:val="5"/>
        </w:rPr>
        <w:t> </w:t>
      </w:r>
      <w:r>
        <w:rPr/>
        <w:t>output,</w:t>
      </w:r>
      <w:r>
        <w:rPr>
          <w:spacing w:val="5"/>
        </w:rPr>
        <w:t> </w:t>
      </w:r>
      <w:r>
        <w:rPr/>
        <w:t>which</w:t>
      </w:r>
      <w:r>
        <w:rPr>
          <w:spacing w:val="5"/>
        </w:rPr>
        <w:t> </w:t>
      </w:r>
      <w:r>
        <w:rPr/>
        <w:t>serves</w:t>
      </w:r>
      <w:r>
        <w:rPr>
          <w:spacing w:val="5"/>
        </w:rPr>
        <w:t> </w:t>
      </w:r>
      <w:r>
        <w:rPr/>
        <w:t>as</w:t>
      </w:r>
      <w:r>
        <w:rPr>
          <w:spacing w:val="5"/>
        </w:rPr>
        <w:t> </w:t>
      </w:r>
      <w:r>
        <w:rPr/>
        <w:t>the</w:t>
      </w:r>
      <w:r>
        <w:rPr>
          <w:spacing w:val="5"/>
        </w:rPr>
        <w:t> </w:t>
      </w:r>
      <w:r>
        <w:rPr/>
        <w:t>foundational</w:t>
      </w:r>
      <w:r>
        <w:rPr>
          <w:spacing w:val="5"/>
        </w:rPr>
        <w:t> </w:t>
      </w:r>
      <w:r>
        <w:rPr/>
        <w:t>data</w:t>
      </w:r>
      <w:r>
        <w:rPr>
          <w:spacing w:val="5"/>
        </w:rPr>
        <w:t> </w:t>
      </w:r>
      <w:r>
        <w:rPr>
          <w:spacing w:val="-2"/>
        </w:rPr>
        <w:t>layer</w:t>
      </w:r>
    </w:p>
    <w:p>
      <w:pPr>
        <w:pStyle w:val="BodyText"/>
        <w:spacing w:after="0" w:line="312" w:lineRule="auto"/>
        <w:jc w:val="both"/>
        <w:sectPr>
          <w:pgSz w:w="11910" w:h="16840"/>
          <w:pgMar w:header="0" w:footer="626" w:top="1500" w:bottom="820" w:left="1275" w:right="1275"/>
        </w:sectPr>
      </w:pPr>
    </w:p>
    <w:p>
      <w:pPr>
        <w:pStyle w:val="BodyText"/>
        <w:spacing w:before="78"/>
        <w:ind w:left="285"/>
        <w:jc w:val="both"/>
      </w:pPr>
      <w:r>
        <w:rPr/>
        <w:t>consumed by subsequent </w:t>
      </w:r>
      <w:r>
        <w:rPr>
          <w:spacing w:val="-2"/>
        </w:rPr>
        <w:t>agents.</w:t>
      </w:r>
    </w:p>
    <w:p>
      <w:pPr>
        <w:pStyle w:val="BodyText"/>
        <w:spacing w:before="48"/>
      </w:pPr>
    </w:p>
    <w:p>
      <w:pPr>
        <w:pStyle w:val="ListParagraph"/>
        <w:numPr>
          <w:ilvl w:val="2"/>
          <w:numId w:val="9"/>
        </w:numPr>
        <w:tabs>
          <w:tab w:pos="825" w:val="left" w:leader="none"/>
        </w:tabs>
        <w:spacing w:line="240" w:lineRule="auto" w:before="0" w:after="0"/>
        <w:ind w:left="825" w:right="0" w:hanging="540"/>
        <w:jc w:val="both"/>
        <w:rPr>
          <w:b/>
          <w:sz w:val="24"/>
        </w:rPr>
      </w:pPr>
      <w:r>
        <w:rPr>
          <w:b/>
          <w:sz w:val="24"/>
        </w:rPr>
        <w:t>LCA </w:t>
      </w:r>
      <w:r>
        <w:rPr>
          <w:b/>
          <w:spacing w:val="-2"/>
          <w:sz w:val="24"/>
        </w:rPr>
        <w:t>Scorer</w:t>
      </w:r>
    </w:p>
    <w:p>
      <w:pPr>
        <w:pStyle w:val="BodyText"/>
        <w:spacing w:line="360" w:lineRule="exact" w:before="100"/>
        <w:ind w:left="285" w:right="283"/>
        <w:jc w:val="both"/>
      </w:pPr>
      <w:r>
        <w:rPr/>
        <w:t>The LCA Scorer performs quantitative environmental impact assessment across </w:t>
      </w:r>
      <w:r>
        <w:rPr/>
        <w:t>three primary categories: Carbon Footprint (greenhouse gas emissions expressed in CO</w:t>
      </w:r>
      <w:r>
        <w:rPr>
          <w:position w:val="-11"/>
          <w:sz w:val="20"/>
        </w:rPr>
        <w:t>2 </w:t>
      </w:r>
      <w:r>
        <w:rPr/>
        <w:t>equivalents), Water Use (volumetric consumption and stress-weighted use), and Resource Depletion (abiotic depletion potential). Each category is scored on a scale from 0 to 100, where higher scores indicate better performance relative to sectoral benchmarks. The agent provides a detailed justification for each score, referencing applicable emission factors, inventory data, and comparative benchmarks.</w:t>
      </w:r>
    </w:p>
    <w:p>
      <w:pPr>
        <w:pStyle w:val="BodyText"/>
        <w:spacing w:before="28"/>
      </w:pPr>
    </w:p>
    <w:p>
      <w:pPr>
        <w:pStyle w:val="ListParagraph"/>
        <w:numPr>
          <w:ilvl w:val="2"/>
          <w:numId w:val="9"/>
        </w:numPr>
        <w:tabs>
          <w:tab w:pos="825" w:val="left" w:leader="none"/>
        </w:tabs>
        <w:spacing w:line="240" w:lineRule="auto" w:before="0" w:after="0"/>
        <w:ind w:left="825" w:right="0" w:hanging="540"/>
        <w:jc w:val="both"/>
        <w:rPr>
          <w:b/>
          <w:sz w:val="24"/>
        </w:rPr>
      </w:pPr>
      <w:r>
        <w:rPr>
          <w:b/>
          <w:sz w:val="24"/>
        </w:rPr>
        <w:t>Circularity Gap </w:t>
      </w:r>
      <w:r>
        <w:rPr>
          <w:b/>
          <w:spacing w:val="-2"/>
          <w:sz w:val="24"/>
        </w:rPr>
        <w:t>Evaluator</w:t>
      </w:r>
    </w:p>
    <w:p>
      <w:pPr>
        <w:pStyle w:val="BodyText"/>
        <w:spacing w:line="312" w:lineRule="auto" w:before="164"/>
        <w:ind w:left="285" w:right="284"/>
        <w:jc w:val="both"/>
      </w:pPr>
      <w:r>
        <w:rPr/>
        <w:t>The Circularity Gap Evaluator assesses the degree to which the audited entity adheres </w:t>
      </w:r>
      <w:r>
        <w:rPr/>
        <w:t>to the</w:t>
      </w:r>
      <w:r>
        <w:rPr>
          <w:spacing w:val="4"/>
        </w:rPr>
        <w:t> </w:t>
      </w:r>
      <w:r>
        <w:rPr/>
        <w:t>principles</w:t>
      </w:r>
      <w:r>
        <w:rPr>
          <w:spacing w:val="6"/>
        </w:rPr>
        <w:t> </w:t>
      </w:r>
      <w:r>
        <w:rPr/>
        <w:t>of</w:t>
      </w:r>
      <w:r>
        <w:rPr>
          <w:spacing w:val="6"/>
        </w:rPr>
        <w:t> </w:t>
      </w:r>
      <w:r>
        <w:rPr/>
        <w:t>the</w:t>
      </w:r>
      <w:r>
        <w:rPr>
          <w:spacing w:val="6"/>
        </w:rPr>
        <w:t> </w:t>
      </w:r>
      <w:r>
        <w:rPr/>
        <w:t>10R</w:t>
      </w:r>
      <w:r>
        <w:rPr>
          <w:spacing w:val="6"/>
        </w:rPr>
        <w:t> </w:t>
      </w:r>
      <w:r>
        <w:rPr/>
        <w:t>waste</w:t>
      </w:r>
      <w:r>
        <w:rPr>
          <w:spacing w:val="6"/>
        </w:rPr>
        <w:t> </w:t>
      </w:r>
      <w:r>
        <w:rPr/>
        <w:t>hierarchy.</w:t>
      </w:r>
      <w:r>
        <w:rPr>
          <w:spacing w:val="6"/>
        </w:rPr>
        <w:t> </w:t>
      </w:r>
      <w:r>
        <w:rPr/>
        <w:t>It</w:t>
      </w:r>
      <w:r>
        <w:rPr>
          <w:spacing w:val="6"/>
        </w:rPr>
        <w:t> </w:t>
      </w:r>
      <w:r>
        <w:rPr/>
        <w:t>rates</w:t>
      </w:r>
      <w:r>
        <w:rPr>
          <w:spacing w:val="6"/>
        </w:rPr>
        <w:t> </w:t>
      </w:r>
      <w:r>
        <w:rPr/>
        <w:t>performance</w:t>
      </w:r>
      <w:r>
        <w:rPr>
          <w:spacing w:val="6"/>
        </w:rPr>
        <w:t> </w:t>
      </w:r>
      <w:r>
        <w:rPr/>
        <w:t>at</w:t>
      </w:r>
      <w:r>
        <w:rPr>
          <w:spacing w:val="6"/>
        </w:rPr>
        <w:t> </w:t>
      </w:r>
      <w:r>
        <w:rPr/>
        <w:t>each</w:t>
      </w:r>
      <w:r>
        <w:rPr>
          <w:spacing w:val="6"/>
        </w:rPr>
        <w:t> </w:t>
      </w:r>
      <w:r>
        <w:rPr/>
        <w:t>tier</w:t>
      </w:r>
      <w:r>
        <w:rPr>
          <w:spacing w:val="6"/>
        </w:rPr>
        <w:t> </w:t>
      </w:r>
      <w:r>
        <w:rPr/>
        <w:t>of</w:t>
      </w:r>
      <w:r>
        <w:rPr>
          <w:spacing w:val="6"/>
        </w:rPr>
        <w:t> </w:t>
      </w:r>
      <w:r>
        <w:rPr/>
        <w:t>the</w:t>
      </w:r>
      <w:r>
        <w:rPr>
          <w:spacing w:val="6"/>
        </w:rPr>
        <w:t> </w:t>
      </w:r>
      <w:r>
        <w:rPr>
          <w:spacing w:val="-2"/>
        </w:rPr>
        <w:t>hierarchy</w:t>
      </w:r>
    </w:p>
    <w:p>
      <w:pPr>
        <w:pStyle w:val="BodyText"/>
        <w:spacing w:line="312" w:lineRule="auto" w:before="2"/>
        <w:ind w:left="285" w:right="284"/>
        <w:jc w:val="both"/>
      </w:pPr>
      <w:r>
        <w:rPr/>
        <w:t>— from Refuse (highest circularity) to Recover (lowest circularity) — and </w:t>
      </w:r>
      <w:r>
        <w:rPr/>
        <w:t>identifies specific linear take-make-dispose patterns that represent opportunities for </w:t>
      </w:r>
      <w:r>
        <w:rPr/>
        <w:t>improvement. The evaluator produces a circularity gap score and a prioritised list of recommendations aligned to the 10R hierarchy.</w:t>
      </w:r>
    </w:p>
    <w:p>
      <w:pPr>
        <w:pStyle w:val="ListParagraph"/>
        <w:numPr>
          <w:ilvl w:val="2"/>
          <w:numId w:val="9"/>
        </w:numPr>
        <w:tabs>
          <w:tab w:pos="825" w:val="left" w:leader="none"/>
        </w:tabs>
        <w:spacing w:line="240" w:lineRule="auto" w:before="245" w:after="0"/>
        <w:ind w:left="825" w:right="0" w:hanging="540"/>
        <w:jc w:val="both"/>
        <w:rPr>
          <w:b/>
          <w:sz w:val="24"/>
        </w:rPr>
      </w:pPr>
      <w:r>
        <w:rPr>
          <w:b/>
          <w:sz w:val="24"/>
        </w:rPr>
        <w:t>Industrial Ecology </w:t>
      </w:r>
      <w:r>
        <w:rPr>
          <w:b/>
          <w:spacing w:val="-2"/>
          <w:sz w:val="24"/>
        </w:rPr>
        <w:t>Specialist</w:t>
      </w:r>
    </w:p>
    <w:p>
      <w:pPr>
        <w:pStyle w:val="BodyText"/>
        <w:spacing w:line="312" w:lineRule="auto" w:before="164"/>
        <w:ind w:left="285" w:right="284"/>
        <w:jc w:val="both"/>
      </w:pPr>
      <w:r>
        <w:rPr/>
        <w:t>The Industrial Ecology Specialist analyses the waste and by-product streams identified by the Material Flow Analyst and queries local and regional industrial databases to identify potential symbiosis partners. The agent considers material compatibility, </w:t>
      </w:r>
      <w:r>
        <w:rPr/>
        <w:t>volume feasibility, geographic proximity, and regulatory constraints in its partner matching logic. Typical</w:t>
      </w:r>
      <w:r>
        <w:rPr>
          <w:spacing w:val="-4"/>
        </w:rPr>
        <w:t> </w:t>
      </w:r>
      <w:r>
        <w:rPr/>
        <w:t>symbiosis</w:t>
      </w:r>
      <w:r>
        <w:rPr>
          <w:spacing w:val="-4"/>
        </w:rPr>
        <w:t> </w:t>
      </w:r>
      <w:r>
        <w:rPr/>
        <w:t>opportunities</w:t>
      </w:r>
      <w:r>
        <w:rPr>
          <w:spacing w:val="-4"/>
        </w:rPr>
        <w:t> </w:t>
      </w:r>
      <w:r>
        <w:rPr/>
        <w:t>flagged</w:t>
      </w:r>
      <w:r>
        <w:rPr>
          <w:spacing w:val="-4"/>
        </w:rPr>
        <w:t> </w:t>
      </w:r>
      <w:r>
        <w:rPr/>
        <w:t>by</w:t>
      </w:r>
      <w:r>
        <w:rPr>
          <w:spacing w:val="-4"/>
        </w:rPr>
        <w:t> </w:t>
      </w:r>
      <w:r>
        <w:rPr/>
        <w:t>this</w:t>
      </w:r>
      <w:r>
        <w:rPr>
          <w:spacing w:val="-4"/>
        </w:rPr>
        <w:t> </w:t>
      </w:r>
      <w:r>
        <w:rPr/>
        <w:t>agent</w:t>
      </w:r>
      <w:r>
        <w:rPr>
          <w:spacing w:val="-4"/>
        </w:rPr>
        <w:t> </w:t>
      </w:r>
      <w:r>
        <w:rPr/>
        <w:t>include</w:t>
      </w:r>
      <w:r>
        <w:rPr>
          <w:spacing w:val="-4"/>
        </w:rPr>
        <w:t> </w:t>
      </w:r>
      <w:r>
        <w:rPr/>
        <w:t>waste</w:t>
      </w:r>
      <w:r>
        <w:rPr>
          <w:spacing w:val="-4"/>
        </w:rPr>
        <w:t> </w:t>
      </w:r>
      <w:r>
        <w:rPr/>
        <w:t>heat</w:t>
      </w:r>
      <w:r>
        <w:rPr>
          <w:spacing w:val="-4"/>
        </w:rPr>
        <w:t> </w:t>
      </w:r>
      <w:r>
        <w:rPr/>
        <w:t>recovery,</w:t>
      </w:r>
      <w:r>
        <w:rPr>
          <w:spacing w:val="-4"/>
        </w:rPr>
        <w:t> </w:t>
      </w:r>
      <w:r>
        <w:rPr/>
        <w:t>slag</w:t>
      </w:r>
      <w:r>
        <w:rPr>
          <w:spacing w:val="-4"/>
        </w:rPr>
        <w:t> </w:t>
      </w:r>
      <w:r>
        <w:rPr/>
        <w:t>and ash utilisation in construction, and solvent exchange between chemical processors.</w:t>
      </w:r>
    </w:p>
    <w:p>
      <w:pPr>
        <w:pStyle w:val="ListParagraph"/>
        <w:numPr>
          <w:ilvl w:val="2"/>
          <w:numId w:val="9"/>
        </w:numPr>
        <w:tabs>
          <w:tab w:pos="825" w:val="left" w:leader="none"/>
        </w:tabs>
        <w:spacing w:line="240" w:lineRule="auto" w:before="248" w:after="0"/>
        <w:ind w:left="825" w:right="0" w:hanging="540"/>
        <w:jc w:val="both"/>
        <w:rPr>
          <w:b/>
          <w:sz w:val="24"/>
        </w:rPr>
      </w:pPr>
      <w:r>
        <w:rPr>
          <w:b/>
          <w:sz w:val="24"/>
        </w:rPr>
        <w:t>ISO 14000 Compliance </w:t>
      </w:r>
      <w:r>
        <w:rPr>
          <w:b/>
          <w:spacing w:val="-2"/>
          <w:sz w:val="24"/>
        </w:rPr>
        <w:t>Officer</w:t>
      </w:r>
    </w:p>
    <w:p>
      <w:pPr>
        <w:pStyle w:val="BodyText"/>
        <w:spacing w:line="312" w:lineRule="auto" w:before="164"/>
        <w:ind w:left="285" w:right="283"/>
        <w:jc w:val="both"/>
      </w:pPr>
      <w:r>
        <w:rPr/>
        <w:t>The ISO 14000 Compliance Officer conducts a structured gap analysis against the requirements of ISO 14001 (Environmental Management Systems), ISO 14040 (Lifecycle Assessment Principles and Framework), and ISO 14044 (Lifecycle </w:t>
      </w:r>
      <w:r>
        <w:rPr/>
        <w:t>Assessment Requirements and Guidelines). For each relevant clause, the agent assesses the degree of conformance, identifies specific gaps, and recommends corrective actions. The output is formatted as a clause-by-clause compliance table with conformance ratings and supporting </w:t>
      </w:r>
      <w:r>
        <w:rPr>
          <w:spacing w:val="-2"/>
        </w:rPr>
        <w:t>evidence.</w:t>
      </w:r>
    </w:p>
    <w:p>
      <w:pPr>
        <w:pStyle w:val="ListParagraph"/>
        <w:numPr>
          <w:ilvl w:val="2"/>
          <w:numId w:val="9"/>
        </w:numPr>
        <w:tabs>
          <w:tab w:pos="825" w:val="left" w:leader="none"/>
        </w:tabs>
        <w:spacing w:line="240" w:lineRule="auto" w:before="248" w:after="0"/>
        <w:ind w:left="825" w:right="0" w:hanging="540"/>
        <w:jc w:val="both"/>
        <w:rPr>
          <w:b/>
          <w:sz w:val="24"/>
        </w:rPr>
      </w:pPr>
      <w:r>
        <w:rPr>
          <w:b/>
          <w:sz w:val="24"/>
        </w:rPr>
        <w:t>SDG Policy </w:t>
      </w:r>
      <w:r>
        <w:rPr>
          <w:b/>
          <w:spacing w:val="-2"/>
          <w:sz w:val="24"/>
        </w:rPr>
        <w:t>Evaluator</w:t>
      </w:r>
    </w:p>
    <w:p>
      <w:pPr>
        <w:pStyle w:val="ListParagraph"/>
        <w:spacing w:after="0" w:line="240" w:lineRule="auto"/>
        <w:jc w:val="both"/>
        <w:rPr>
          <w:b/>
          <w:sz w:val="24"/>
        </w:rPr>
        <w:sectPr>
          <w:pgSz w:w="11910" w:h="16840"/>
          <w:pgMar w:header="0" w:footer="626" w:top="1480" w:bottom="820" w:left="1275" w:right="1275"/>
        </w:sectPr>
      </w:pPr>
    </w:p>
    <w:p>
      <w:pPr>
        <w:pStyle w:val="BodyText"/>
        <w:spacing w:line="312" w:lineRule="auto" w:before="78"/>
        <w:ind w:left="285" w:right="283"/>
        <w:jc w:val="both"/>
      </w:pPr>
      <w:r>
        <w:rPr/>
        <w:t>The SDG Policy Evaluator scores the alignment of the audited entity with three </w:t>
      </w:r>
      <w:r>
        <w:rPr/>
        <w:t>United Nations Sustainable Development Goals: SDG 11 (Sustainable Cities and Communities), SDG</w:t>
      </w:r>
      <w:r>
        <w:rPr>
          <w:spacing w:val="-5"/>
        </w:rPr>
        <w:t> </w:t>
      </w:r>
      <w:r>
        <w:rPr/>
        <w:t>12</w:t>
      </w:r>
      <w:r>
        <w:rPr>
          <w:spacing w:val="-5"/>
        </w:rPr>
        <w:t> </w:t>
      </w:r>
      <w:r>
        <w:rPr/>
        <w:t>(Responsible</w:t>
      </w:r>
      <w:r>
        <w:rPr>
          <w:spacing w:val="-5"/>
        </w:rPr>
        <w:t> </w:t>
      </w:r>
      <w:r>
        <w:rPr/>
        <w:t>Consumption</w:t>
      </w:r>
      <w:r>
        <w:rPr>
          <w:spacing w:val="-5"/>
        </w:rPr>
        <w:t> </w:t>
      </w:r>
      <w:r>
        <w:rPr/>
        <w:t>and</w:t>
      </w:r>
      <w:r>
        <w:rPr>
          <w:spacing w:val="-5"/>
        </w:rPr>
        <w:t> </w:t>
      </w:r>
      <w:r>
        <w:rPr/>
        <w:t>Production),</w:t>
      </w:r>
      <w:r>
        <w:rPr>
          <w:spacing w:val="-5"/>
        </w:rPr>
        <w:t> </w:t>
      </w:r>
      <w:r>
        <w:rPr/>
        <w:t>and</w:t>
      </w:r>
      <w:r>
        <w:rPr>
          <w:spacing w:val="-5"/>
        </w:rPr>
        <w:t> </w:t>
      </w:r>
      <w:r>
        <w:rPr/>
        <w:t>SDG</w:t>
      </w:r>
      <w:r>
        <w:rPr>
          <w:spacing w:val="-5"/>
        </w:rPr>
        <w:t> </w:t>
      </w:r>
      <w:r>
        <w:rPr/>
        <w:t>13</w:t>
      </w:r>
      <w:r>
        <w:rPr>
          <w:spacing w:val="-5"/>
        </w:rPr>
        <w:t> </w:t>
      </w:r>
      <w:r>
        <w:rPr/>
        <w:t>(Climate</w:t>
      </w:r>
      <w:r>
        <w:rPr>
          <w:spacing w:val="-5"/>
        </w:rPr>
        <w:t> </w:t>
      </w:r>
      <w:r>
        <w:rPr/>
        <w:t>Action).</w:t>
      </w:r>
      <w:r>
        <w:rPr>
          <w:spacing w:val="-5"/>
        </w:rPr>
        <w:t> </w:t>
      </w:r>
      <w:r>
        <w:rPr/>
        <w:t>Scores are expressed as a percentage of target achievement, accompanied by a narrative justification and a quantitative estimate of eligible carbon credits based on the emission reductions implied by the audit findings.</w:t>
      </w:r>
    </w:p>
    <w:p>
      <w:pPr>
        <w:pStyle w:val="BodyText"/>
        <w:spacing w:before="11"/>
      </w:pPr>
    </w:p>
    <w:p>
      <w:pPr>
        <w:pStyle w:val="Heading2"/>
        <w:numPr>
          <w:ilvl w:val="1"/>
          <w:numId w:val="9"/>
        </w:numPr>
        <w:tabs>
          <w:tab w:pos="645" w:val="left" w:leader="none"/>
        </w:tabs>
        <w:spacing w:line="240" w:lineRule="auto" w:before="0" w:after="0"/>
        <w:ind w:left="645" w:right="0" w:hanging="360"/>
        <w:jc w:val="left"/>
      </w:pPr>
      <w:bookmarkStart w:name="_TOC_250013" w:id="16"/>
      <w:r>
        <w:rPr/>
        <w:t>Inter-Agent Communication </w:t>
      </w:r>
      <w:bookmarkEnd w:id="16"/>
      <w:r>
        <w:rPr>
          <w:spacing w:val="-2"/>
        </w:rPr>
        <w:t>Protocol</w:t>
      </w:r>
    </w:p>
    <w:p>
      <w:pPr>
        <w:pStyle w:val="BodyText"/>
        <w:spacing w:line="312" w:lineRule="auto" w:before="204"/>
        <w:ind w:left="285" w:right="283"/>
        <w:jc w:val="both"/>
      </w:pPr>
      <w:r>
        <w:rPr/>
        <w:t>Agents communicate exclusively through structured JSON artifacts passed to the orchestrator</w:t>
      </w:r>
      <w:r>
        <w:rPr>
          <w:spacing w:val="-6"/>
        </w:rPr>
        <w:t> </w:t>
      </w:r>
      <w:r>
        <w:rPr/>
        <w:t>upon</w:t>
      </w:r>
      <w:r>
        <w:rPr>
          <w:spacing w:val="-6"/>
        </w:rPr>
        <w:t> </w:t>
      </w:r>
      <w:r>
        <w:rPr/>
        <w:t>completion.</w:t>
      </w:r>
      <w:r>
        <w:rPr>
          <w:spacing w:val="-6"/>
        </w:rPr>
        <w:t> </w:t>
      </w:r>
      <w:r>
        <w:rPr/>
        <w:t>Each</w:t>
      </w:r>
      <w:r>
        <w:rPr>
          <w:spacing w:val="-6"/>
        </w:rPr>
        <w:t> </w:t>
      </w:r>
      <w:r>
        <w:rPr/>
        <w:t>artifact</w:t>
      </w:r>
      <w:r>
        <w:rPr>
          <w:spacing w:val="-6"/>
        </w:rPr>
        <w:t> </w:t>
      </w:r>
      <w:r>
        <w:rPr/>
        <w:t>contains</w:t>
      </w:r>
      <w:r>
        <w:rPr>
          <w:spacing w:val="-6"/>
        </w:rPr>
        <w:t> </w:t>
      </w:r>
      <w:r>
        <w:rPr/>
        <w:t>a</w:t>
      </w:r>
      <w:r>
        <w:rPr>
          <w:spacing w:val="-6"/>
        </w:rPr>
        <w:t> </w:t>
      </w:r>
      <w:r>
        <w:rPr/>
        <w:t>standardised</w:t>
      </w:r>
      <w:r>
        <w:rPr>
          <w:spacing w:val="-6"/>
        </w:rPr>
        <w:t> </w:t>
      </w:r>
      <w:r>
        <w:rPr/>
        <w:t>header</w:t>
      </w:r>
      <w:r>
        <w:rPr>
          <w:spacing w:val="-6"/>
        </w:rPr>
        <w:t> </w:t>
      </w:r>
      <w:r>
        <w:rPr/>
        <w:t>(agent</w:t>
      </w:r>
      <w:r>
        <w:rPr>
          <w:spacing w:val="-6"/>
        </w:rPr>
        <w:t> </w:t>
      </w:r>
      <w:r>
        <w:rPr/>
        <w:t>identifier, audit session identifier, timestamp) and a structured payload specific to the agent role. The orchestrator validates artifact schemas before forwarding them to the synthesis stage. Conflicts between agent findings — for example, a high LCA score contradicted by low circularity ratings — are explicitly flagged in the synthesis report along with a reconciliation recommendation.</w:t>
      </w:r>
    </w:p>
    <w:p>
      <w:pPr>
        <w:pStyle w:val="BodyText"/>
        <w:spacing w:before="13"/>
      </w:pPr>
    </w:p>
    <w:p>
      <w:pPr>
        <w:pStyle w:val="Heading2"/>
        <w:numPr>
          <w:ilvl w:val="1"/>
          <w:numId w:val="9"/>
        </w:numPr>
        <w:tabs>
          <w:tab w:pos="645" w:val="left" w:leader="none"/>
        </w:tabs>
        <w:spacing w:line="240" w:lineRule="auto" w:before="0" w:after="0"/>
        <w:ind w:left="645" w:right="0" w:hanging="360"/>
        <w:jc w:val="left"/>
      </w:pPr>
      <w:bookmarkStart w:name="_TOC_250012" w:id="17"/>
      <w:r>
        <w:rPr/>
        <w:t>Technology </w:t>
      </w:r>
      <w:bookmarkEnd w:id="17"/>
      <w:r>
        <w:rPr>
          <w:spacing w:val="-2"/>
        </w:rPr>
        <w:t>Stack</w:t>
      </w:r>
    </w:p>
    <w:p>
      <w:pPr>
        <w:spacing w:before="201"/>
        <w:ind w:left="0" w:right="0" w:firstLine="0"/>
        <w:jc w:val="center"/>
        <w:rPr>
          <w:sz w:val="20"/>
        </w:rPr>
      </w:pPr>
      <w:r>
        <w:rPr>
          <w:sz w:val="20"/>
        </w:rPr>
        <w:t>Table 3.1: MACEA Technology </w:t>
      </w:r>
      <w:r>
        <w:rPr>
          <w:spacing w:val="-2"/>
          <w:sz w:val="20"/>
        </w:rPr>
        <w:t>Stack</w:t>
      </w:r>
    </w:p>
    <w:p>
      <w:pPr>
        <w:pStyle w:val="BodyText"/>
        <w:spacing w:before="9"/>
        <w:rPr>
          <w:sz w:val="12"/>
        </w:rPr>
      </w:pPr>
    </w:p>
    <w:tbl>
      <w:tblPr>
        <w:tblW w:w="0" w:type="auto"/>
        <w:jc w:val="left"/>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2880"/>
        <w:gridCol w:w="4176"/>
      </w:tblGrid>
      <w:tr>
        <w:trPr>
          <w:trHeight w:val="545" w:hRule="atLeast"/>
        </w:trPr>
        <w:tc>
          <w:tcPr>
            <w:tcW w:w="2160" w:type="dxa"/>
            <w:tcBorders>
              <w:bottom w:val="single" w:sz="4" w:space="0" w:color="808080"/>
              <w:right w:val="single" w:sz="4" w:space="0" w:color="808080"/>
            </w:tcBorders>
            <w:shd w:val="clear" w:color="auto" w:fill="CFE2F2"/>
          </w:tcPr>
          <w:p>
            <w:pPr>
              <w:pStyle w:val="TableParagraph"/>
              <w:spacing w:before="106"/>
              <w:ind w:left="100"/>
              <w:rPr>
                <w:b/>
                <w:sz w:val="24"/>
              </w:rPr>
            </w:pPr>
            <w:r>
              <w:rPr>
                <w:b/>
                <w:spacing w:val="-2"/>
                <w:sz w:val="24"/>
              </w:rPr>
              <w:t>Component</w:t>
            </w:r>
          </w:p>
        </w:tc>
        <w:tc>
          <w:tcPr>
            <w:tcW w:w="2880" w:type="dxa"/>
            <w:tcBorders>
              <w:left w:val="single" w:sz="4" w:space="0" w:color="808080"/>
              <w:bottom w:val="single" w:sz="4" w:space="0" w:color="808080"/>
              <w:right w:val="single" w:sz="4" w:space="0" w:color="808080"/>
            </w:tcBorders>
            <w:shd w:val="clear" w:color="auto" w:fill="CFE2F2"/>
          </w:tcPr>
          <w:p>
            <w:pPr>
              <w:pStyle w:val="TableParagraph"/>
              <w:spacing w:before="106"/>
              <w:ind w:left="105"/>
              <w:rPr>
                <w:b/>
                <w:sz w:val="24"/>
              </w:rPr>
            </w:pPr>
            <w:r>
              <w:rPr>
                <w:b/>
                <w:spacing w:val="-2"/>
                <w:sz w:val="24"/>
              </w:rPr>
              <w:t>Technology</w:t>
            </w:r>
          </w:p>
        </w:tc>
        <w:tc>
          <w:tcPr>
            <w:tcW w:w="4176" w:type="dxa"/>
            <w:tcBorders>
              <w:left w:val="single" w:sz="4" w:space="0" w:color="808080"/>
              <w:bottom w:val="single" w:sz="4" w:space="0" w:color="808080"/>
            </w:tcBorders>
            <w:shd w:val="clear" w:color="auto" w:fill="CFE2F2"/>
          </w:tcPr>
          <w:p>
            <w:pPr>
              <w:pStyle w:val="TableParagraph"/>
              <w:spacing w:before="106"/>
              <w:ind w:left="105"/>
              <w:rPr>
                <w:b/>
                <w:sz w:val="24"/>
              </w:rPr>
            </w:pPr>
            <w:r>
              <w:rPr>
                <w:b/>
                <w:spacing w:val="-2"/>
                <w:sz w:val="24"/>
              </w:rPr>
              <w:t>Purpose</w:t>
            </w:r>
          </w:p>
        </w:tc>
      </w:tr>
      <w:tr>
        <w:trPr>
          <w:trHeight w:val="910" w:hRule="atLeast"/>
        </w:trPr>
        <w:tc>
          <w:tcPr>
            <w:tcW w:w="2160" w:type="dxa"/>
            <w:tcBorders>
              <w:top w:val="single" w:sz="4" w:space="0" w:color="808080"/>
              <w:bottom w:val="single" w:sz="4" w:space="0" w:color="808080"/>
              <w:right w:val="single" w:sz="4" w:space="0" w:color="808080"/>
            </w:tcBorders>
          </w:tcPr>
          <w:p>
            <w:pPr>
              <w:pStyle w:val="TableParagraph"/>
              <w:spacing w:before="14"/>
              <w:rPr>
                <w:sz w:val="24"/>
              </w:rPr>
            </w:pPr>
          </w:p>
          <w:p>
            <w:pPr>
              <w:pStyle w:val="TableParagraph"/>
              <w:ind w:left="100"/>
              <w:rPr>
                <w:sz w:val="24"/>
              </w:rPr>
            </w:pPr>
            <w:r>
              <w:rPr>
                <w:sz w:val="24"/>
              </w:rPr>
              <w:t>AI </w:t>
            </w:r>
            <w:r>
              <w:rPr>
                <w:spacing w:val="-2"/>
                <w:sz w:val="24"/>
              </w:rPr>
              <w:t>Inference</w:t>
            </w:r>
          </w:p>
        </w:tc>
        <w:tc>
          <w:tcPr>
            <w:tcW w:w="2880" w:type="dxa"/>
            <w:tcBorders>
              <w:top w:val="single" w:sz="4" w:space="0" w:color="808080"/>
              <w:left w:val="single" w:sz="4" w:space="0" w:color="808080"/>
              <w:bottom w:val="single" w:sz="4" w:space="0" w:color="808080"/>
              <w:right w:val="single" w:sz="4" w:space="0" w:color="808080"/>
            </w:tcBorders>
          </w:tcPr>
          <w:p>
            <w:pPr>
              <w:pStyle w:val="TableParagraph"/>
              <w:tabs>
                <w:tab w:pos="802" w:val="left" w:leader="none"/>
                <w:tab w:pos="1394" w:val="left" w:leader="none"/>
                <w:tab w:pos="2464" w:val="left" w:leader="none"/>
              </w:tabs>
              <w:spacing w:line="312" w:lineRule="auto" w:before="111"/>
              <w:ind w:left="105" w:right="102"/>
              <w:rPr>
                <w:sz w:val="24"/>
              </w:rPr>
            </w:pPr>
            <w:r>
              <w:rPr>
                <w:spacing w:val="-4"/>
                <w:sz w:val="24"/>
              </w:rPr>
              <w:t>Groq</w:t>
            </w:r>
            <w:r>
              <w:rPr>
                <w:sz w:val="24"/>
              </w:rPr>
              <w:tab/>
            </w:r>
            <w:r>
              <w:rPr>
                <w:spacing w:val="-4"/>
                <w:sz w:val="24"/>
              </w:rPr>
              <w:t>API</w:t>
            </w:r>
            <w:r>
              <w:rPr>
                <w:sz w:val="24"/>
              </w:rPr>
              <w:tab/>
            </w:r>
            <w:r>
              <w:rPr>
                <w:spacing w:val="-2"/>
                <w:sz w:val="24"/>
              </w:rPr>
              <w:t>(LLaMA</w:t>
            </w:r>
            <w:r>
              <w:rPr>
                <w:sz w:val="24"/>
              </w:rPr>
              <w:tab/>
            </w:r>
            <w:r>
              <w:rPr>
                <w:spacing w:val="-4"/>
                <w:sz w:val="24"/>
              </w:rPr>
              <w:t>3.3 70B)</w:t>
            </w:r>
          </w:p>
        </w:tc>
        <w:tc>
          <w:tcPr>
            <w:tcW w:w="4176" w:type="dxa"/>
            <w:tcBorders>
              <w:top w:val="single" w:sz="4" w:space="0" w:color="808080"/>
              <w:left w:val="single" w:sz="4" w:space="0" w:color="808080"/>
              <w:bottom w:val="single" w:sz="4" w:space="0" w:color="808080"/>
            </w:tcBorders>
          </w:tcPr>
          <w:p>
            <w:pPr>
              <w:pStyle w:val="TableParagraph"/>
              <w:spacing w:before="14"/>
              <w:rPr>
                <w:sz w:val="24"/>
              </w:rPr>
            </w:pPr>
          </w:p>
          <w:p>
            <w:pPr>
              <w:pStyle w:val="TableParagraph"/>
              <w:ind w:left="105"/>
              <w:rPr>
                <w:sz w:val="24"/>
              </w:rPr>
            </w:pPr>
            <w:r>
              <w:rPr>
                <w:sz w:val="24"/>
              </w:rPr>
              <w:t>Agent reasoning and text </w:t>
            </w:r>
            <w:r>
              <w:rPr>
                <w:spacing w:val="-2"/>
                <w:sz w:val="24"/>
              </w:rPr>
              <w:t>generation</w:t>
            </w:r>
          </w:p>
        </w:tc>
      </w:tr>
      <w:tr>
        <w:trPr>
          <w:trHeight w:val="910" w:hRule="atLeast"/>
        </w:trPr>
        <w:tc>
          <w:tcPr>
            <w:tcW w:w="2160" w:type="dxa"/>
            <w:tcBorders>
              <w:top w:val="single" w:sz="4" w:space="0" w:color="808080"/>
              <w:bottom w:val="single" w:sz="4" w:space="0" w:color="808080"/>
              <w:right w:val="single" w:sz="4" w:space="0" w:color="808080"/>
            </w:tcBorders>
          </w:tcPr>
          <w:p>
            <w:pPr>
              <w:pStyle w:val="TableParagraph"/>
              <w:spacing w:line="312" w:lineRule="auto" w:before="111"/>
              <w:ind w:left="100" w:right="179"/>
              <w:rPr>
                <w:sz w:val="24"/>
              </w:rPr>
            </w:pPr>
            <w:r>
              <w:rPr>
                <w:spacing w:val="-2"/>
                <w:sz w:val="24"/>
              </w:rPr>
              <w:t>Backend Framework</w:t>
            </w:r>
          </w:p>
        </w:tc>
        <w:tc>
          <w:tcPr>
            <w:tcW w:w="2880" w:type="dxa"/>
            <w:tcBorders>
              <w:top w:val="single" w:sz="4" w:space="0" w:color="808080"/>
              <w:left w:val="single" w:sz="4" w:space="0" w:color="808080"/>
              <w:bottom w:val="single" w:sz="4" w:space="0" w:color="808080"/>
              <w:right w:val="single" w:sz="4" w:space="0" w:color="808080"/>
            </w:tcBorders>
          </w:tcPr>
          <w:p>
            <w:pPr>
              <w:pStyle w:val="TableParagraph"/>
              <w:spacing w:before="14"/>
              <w:rPr>
                <w:sz w:val="24"/>
              </w:rPr>
            </w:pPr>
          </w:p>
          <w:p>
            <w:pPr>
              <w:pStyle w:val="TableParagraph"/>
              <w:ind w:left="105"/>
              <w:rPr>
                <w:sz w:val="24"/>
              </w:rPr>
            </w:pPr>
            <w:r>
              <w:rPr>
                <w:sz w:val="24"/>
              </w:rPr>
              <w:t>Python </w:t>
            </w:r>
            <w:r>
              <w:rPr>
                <w:spacing w:val="-2"/>
                <w:sz w:val="24"/>
              </w:rPr>
              <w:t>FastAPI</w:t>
            </w:r>
          </w:p>
        </w:tc>
        <w:tc>
          <w:tcPr>
            <w:tcW w:w="4176" w:type="dxa"/>
            <w:tcBorders>
              <w:top w:val="single" w:sz="4" w:space="0" w:color="808080"/>
              <w:left w:val="single" w:sz="4" w:space="0" w:color="808080"/>
              <w:bottom w:val="single" w:sz="4" w:space="0" w:color="808080"/>
            </w:tcBorders>
          </w:tcPr>
          <w:p>
            <w:pPr>
              <w:pStyle w:val="TableParagraph"/>
              <w:spacing w:before="14"/>
              <w:rPr>
                <w:sz w:val="24"/>
              </w:rPr>
            </w:pPr>
          </w:p>
          <w:p>
            <w:pPr>
              <w:pStyle w:val="TableParagraph"/>
              <w:ind w:left="105"/>
              <w:rPr>
                <w:sz w:val="24"/>
              </w:rPr>
            </w:pPr>
            <w:r>
              <w:rPr>
                <w:sz w:val="24"/>
              </w:rPr>
              <w:t>REST API, async </w:t>
            </w:r>
            <w:r>
              <w:rPr>
                <w:spacing w:val="-2"/>
                <w:sz w:val="24"/>
              </w:rPr>
              <w:t>orchestration</w:t>
            </w:r>
          </w:p>
        </w:tc>
      </w:tr>
      <w:tr>
        <w:trPr>
          <w:trHeight w:val="910" w:hRule="atLeast"/>
        </w:trPr>
        <w:tc>
          <w:tcPr>
            <w:tcW w:w="2160" w:type="dxa"/>
            <w:tcBorders>
              <w:top w:val="single" w:sz="4" w:space="0" w:color="808080"/>
              <w:bottom w:val="single" w:sz="4" w:space="0" w:color="808080"/>
              <w:right w:val="single" w:sz="4" w:space="0" w:color="808080"/>
            </w:tcBorders>
          </w:tcPr>
          <w:p>
            <w:pPr>
              <w:pStyle w:val="TableParagraph"/>
              <w:spacing w:line="312" w:lineRule="auto" w:before="111"/>
              <w:ind w:left="100" w:right="179"/>
              <w:rPr>
                <w:sz w:val="24"/>
              </w:rPr>
            </w:pPr>
            <w:r>
              <w:rPr>
                <w:spacing w:val="-2"/>
                <w:sz w:val="24"/>
              </w:rPr>
              <w:t>Frontend Framework</w:t>
            </w:r>
          </w:p>
        </w:tc>
        <w:tc>
          <w:tcPr>
            <w:tcW w:w="2880" w:type="dxa"/>
            <w:tcBorders>
              <w:top w:val="single" w:sz="4" w:space="0" w:color="808080"/>
              <w:left w:val="single" w:sz="4" w:space="0" w:color="808080"/>
              <w:bottom w:val="single" w:sz="4" w:space="0" w:color="808080"/>
              <w:right w:val="single" w:sz="4" w:space="0" w:color="808080"/>
            </w:tcBorders>
          </w:tcPr>
          <w:p>
            <w:pPr>
              <w:pStyle w:val="TableParagraph"/>
              <w:spacing w:before="14"/>
              <w:rPr>
                <w:sz w:val="24"/>
              </w:rPr>
            </w:pPr>
          </w:p>
          <w:p>
            <w:pPr>
              <w:pStyle w:val="TableParagraph"/>
              <w:ind w:left="105"/>
              <w:rPr>
                <w:sz w:val="24"/>
              </w:rPr>
            </w:pPr>
            <w:r>
              <w:rPr>
                <w:sz w:val="24"/>
              </w:rPr>
              <w:t>React </w:t>
            </w:r>
            <w:r>
              <w:rPr>
                <w:spacing w:val="-2"/>
                <w:sz w:val="24"/>
              </w:rPr>
              <w:t>(Node.js)</w:t>
            </w:r>
          </w:p>
        </w:tc>
        <w:tc>
          <w:tcPr>
            <w:tcW w:w="4176" w:type="dxa"/>
            <w:tcBorders>
              <w:top w:val="single" w:sz="4" w:space="0" w:color="808080"/>
              <w:left w:val="single" w:sz="4" w:space="0" w:color="808080"/>
              <w:bottom w:val="single" w:sz="4" w:space="0" w:color="808080"/>
            </w:tcBorders>
          </w:tcPr>
          <w:p>
            <w:pPr>
              <w:pStyle w:val="TableParagraph"/>
              <w:spacing w:before="14"/>
              <w:rPr>
                <w:sz w:val="24"/>
              </w:rPr>
            </w:pPr>
          </w:p>
          <w:p>
            <w:pPr>
              <w:pStyle w:val="TableParagraph"/>
              <w:ind w:left="105"/>
              <w:rPr>
                <w:sz w:val="24"/>
              </w:rPr>
            </w:pPr>
            <w:r>
              <w:rPr>
                <w:sz w:val="24"/>
              </w:rPr>
              <w:t>Interactive audit </w:t>
            </w:r>
            <w:r>
              <w:rPr>
                <w:spacing w:val="-2"/>
                <w:sz w:val="24"/>
              </w:rPr>
              <w:t>dashboard</w:t>
            </w:r>
          </w:p>
        </w:tc>
      </w:tr>
      <w:tr>
        <w:trPr>
          <w:trHeight w:val="910" w:hRule="atLeast"/>
        </w:trPr>
        <w:tc>
          <w:tcPr>
            <w:tcW w:w="2160" w:type="dxa"/>
            <w:tcBorders>
              <w:top w:val="single" w:sz="4" w:space="0" w:color="808080"/>
              <w:bottom w:val="single" w:sz="4" w:space="0" w:color="808080"/>
              <w:right w:val="single" w:sz="4" w:space="0" w:color="808080"/>
            </w:tcBorders>
          </w:tcPr>
          <w:p>
            <w:pPr>
              <w:pStyle w:val="TableParagraph"/>
              <w:spacing w:line="312" w:lineRule="auto" w:before="111"/>
              <w:ind w:left="100" w:right="179"/>
              <w:rPr>
                <w:sz w:val="24"/>
              </w:rPr>
            </w:pPr>
            <w:r>
              <w:rPr>
                <w:spacing w:val="-2"/>
                <w:sz w:val="24"/>
              </w:rPr>
              <w:t>Environment Config</w:t>
            </w:r>
          </w:p>
        </w:tc>
        <w:tc>
          <w:tcPr>
            <w:tcW w:w="2880" w:type="dxa"/>
            <w:tcBorders>
              <w:top w:val="single" w:sz="4" w:space="0" w:color="808080"/>
              <w:left w:val="single" w:sz="4" w:space="0" w:color="808080"/>
              <w:bottom w:val="single" w:sz="4" w:space="0" w:color="808080"/>
              <w:right w:val="single" w:sz="4" w:space="0" w:color="808080"/>
            </w:tcBorders>
          </w:tcPr>
          <w:p>
            <w:pPr>
              <w:pStyle w:val="TableParagraph"/>
              <w:spacing w:before="14"/>
              <w:rPr>
                <w:sz w:val="24"/>
              </w:rPr>
            </w:pPr>
          </w:p>
          <w:p>
            <w:pPr>
              <w:pStyle w:val="TableParagraph"/>
              <w:ind w:left="105"/>
              <w:rPr>
                <w:sz w:val="24"/>
              </w:rPr>
            </w:pPr>
            <w:r>
              <w:rPr>
                <w:sz w:val="24"/>
              </w:rPr>
              <w:t>python-</w:t>
            </w:r>
            <w:r>
              <w:rPr>
                <w:spacing w:val="-2"/>
                <w:sz w:val="24"/>
              </w:rPr>
              <w:t>dotenv</w:t>
            </w:r>
          </w:p>
        </w:tc>
        <w:tc>
          <w:tcPr>
            <w:tcW w:w="4176" w:type="dxa"/>
            <w:tcBorders>
              <w:top w:val="single" w:sz="4" w:space="0" w:color="808080"/>
              <w:left w:val="single" w:sz="4" w:space="0" w:color="808080"/>
              <w:bottom w:val="single" w:sz="4" w:space="0" w:color="808080"/>
            </w:tcBorders>
          </w:tcPr>
          <w:p>
            <w:pPr>
              <w:pStyle w:val="TableParagraph"/>
              <w:spacing w:before="14"/>
              <w:rPr>
                <w:sz w:val="24"/>
              </w:rPr>
            </w:pPr>
          </w:p>
          <w:p>
            <w:pPr>
              <w:pStyle w:val="TableParagraph"/>
              <w:ind w:left="105"/>
              <w:rPr>
                <w:sz w:val="24"/>
              </w:rPr>
            </w:pPr>
            <w:r>
              <w:rPr>
                <w:sz w:val="24"/>
              </w:rPr>
              <w:t>Dynamic API key </w:t>
            </w:r>
            <w:r>
              <w:rPr>
                <w:spacing w:val="-2"/>
                <w:sz w:val="24"/>
              </w:rPr>
              <w:t>reloading</w:t>
            </w:r>
          </w:p>
        </w:tc>
      </w:tr>
      <w:tr>
        <w:trPr>
          <w:trHeight w:val="910" w:hRule="atLeast"/>
        </w:trPr>
        <w:tc>
          <w:tcPr>
            <w:tcW w:w="2160" w:type="dxa"/>
            <w:tcBorders>
              <w:top w:val="single" w:sz="4" w:space="0" w:color="808080"/>
              <w:bottom w:val="single" w:sz="4" w:space="0" w:color="808080"/>
              <w:right w:val="single" w:sz="4" w:space="0" w:color="808080"/>
            </w:tcBorders>
          </w:tcPr>
          <w:p>
            <w:pPr>
              <w:pStyle w:val="TableParagraph"/>
              <w:spacing w:line="312" w:lineRule="auto" w:before="111"/>
              <w:ind w:left="100" w:right="179"/>
              <w:rPr>
                <w:sz w:val="24"/>
              </w:rPr>
            </w:pPr>
            <w:r>
              <w:rPr>
                <w:spacing w:val="-2"/>
                <w:sz w:val="24"/>
              </w:rPr>
              <w:t>Package Management</w:t>
            </w:r>
          </w:p>
        </w:tc>
        <w:tc>
          <w:tcPr>
            <w:tcW w:w="2880" w:type="dxa"/>
            <w:tcBorders>
              <w:top w:val="single" w:sz="4" w:space="0" w:color="808080"/>
              <w:left w:val="single" w:sz="4" w:space="0" w:color="808080"/>
              <w:bottom w:val="single" w:sz="4" w:space="0" w:color="808080"/>
              <w:right w:val="single" w:sz="4" w:space="0" w:color="808080"/>
            </w:tcBorders>
          </w:tcPr>
          <w:p>
            <w:pPr>
              <w:pStyle w:val="TableParagraph"/>
              <w:spacing w:before="14"/>
              <w:rPr>
                <w:sz w:val="24"/>
              </w:rPr>
            </w:pPr>
          </w:p>
          <w:p>
            <w:pPr>
              <w:pStyle w:val="TableParagraph"/>
              <w:ind w:left="105"/>
              <w:rPr>
                <w:sz w:val="24"/>
              </w:rPr>
            </w:pPr>
            <w:r>
              <w:rPr>
                <w:sz w:val="24"/>
              </w:rPr>
              <w:t>pip / </w:t>
            </w:r>
            <w:r>
              <w:rPr>
                <w:spacing w:val="-5"/>
                <w:sz w:val="24"/>
              </w:rPr>
              <w:t>npm</w:t>
            </w:r>
          </w:p>
        </w:tc>
        <w:tc>
          <w:tcPr>
            <w:tcW w:w="4176" w:type="dxa"/>
            <w:tcBorders>
              <w:top w:val="single" w:sz="4" w:space="0" w:color="808080"/>
              <w:left w:val="single" w:sz="4" w:space="0" w:color="808080"/>
              <w:bottom w:val="single" w:sz="4" w:space="0" w:color="808080"/>
            </w:tcBorders>
          </w:tcPr>
          <w:p>
            <w:pPr>
              <w:pStyle w:val="TableParagraph"/>
              <w:spacing w:before="14"/>
              <w:rPr>
                <w:sz w:val="24"/>
              </w:rPr>
            </w:pPr>
          </w:p>
          <w:p>
            <w:pPr>
              <w:pStyle w:val="TableParagraph"/>
              <w:ind w:left="105"/>
              <w:rPr>
                <w:sz w:val="24"/>
              </w:rPr>
            </w:pPr>
            <w:r>
              <w:rPr>
                <w:sz w:val="24"/>
              </w:rPr>
              <w:t>Dependency </w:t>
            </w:r>
            <w:r>
              <w:rPr>
                <w:spacing w:val="-2"/>
                <w:sz w:val="24"/>
              </w:rPr>
              <w:t>management</w:t>
            </w:r>
          </w:p>
        </w:tc>
      </w:tr>
      <w:tr>
        <w:trPr>
          <w:trHeight w:val="545" w:hRule="atLeast"/>
        </w:trPr>
        <w:tc>
          <w:tcPr>
            <w:tcW w:w="2160" w:type="dxa"/>
            <w:tcBorders>
              <w:top w:val="single" w:sz="4" w:space="0" w:color="808080"/>
              <w:right w:val="single" w:sz="4" w:space="0" w:color="808080"/>
            </w:tcBorders>
          </w:tcPr>
          <w:p>
            <w:pPr>
              <w:pStyle w:val="TableParagraph"/>
              <w:spacing w:before="111"/>
              <w:ind w:left="100"/>
              <w:rPr>
                <w:sz w:val="24"/>
              </w:rPr>
            </w:pPr>
            <w:r>
              <w:rPr>
                <w:spacing w:val="-2"/>
                <w:sz w:val="24"/>
              </w:rPr>
              <w:t>Server</w:t>
            </w:r>
          </w:p>
        </w:tc>
        <w:tc>
          <w:tcPr>
            <w:tcW w:w="2880" w:type="dxa"/>
            <w:tcBorders>
              <w:top w:val="single" w:sz="4" w:space="0" w:color="808080"/>
              <w:left w:val="single" w:sz="4" w:space="0" w:color="808080"/>
              <w:right w:val="single" w:sz="4" w:space="0" w:color="808080"/>
            </w:tcBorders>
          </w:tcPr>
          <w:p>
            <w:pPr>
              <w:pStyle w:val="TableParagraph"/>
              <w:spacing w:before="111"/>
              <w:ind w:left="105"/>
              <w:rPr>
                <w:sz w:val="24"/>
              </w:rPr>
            </w:pPr>
            <w:r>
              <w:rPr>
                <w:sz w:val="24"/>
              </w:rPr>
              <w:t>Uvicorn </w:t>
            </w:r>
            <w:r>
              <w:rPr>
                <w:spacing w:val="-2"/>
                <w:sz w:val="24"/>
              </w:rPr>
              <w:t>(ASGI)</w:t>
            </w:r>
          </w:p>
        </w:tc>
        <w:tc>
          <w:tcPr>
            <w:tcW w:w="4176" w:type="dxa"/>
            <w:tcBorders>
              <w:top w:val="single" w:sz="4" w:space="0" w:color="808080"/>
              <w:left w:val="single" w:sz="4" w:space="0" w:color="808080"/>
            </w:tcBorders>
          </w:tcPr>
          <w:p>
            <w:pPr>
              <w:pStyle w:val="TableParagraph"/>
              <w:spacing w:before="111"/>
              <w:ind w:left="105"/>
              <w:rPr>
                <w:sz w:val="24"/>
              </w:rPr>
            </w:pPr>
            <w:r>
              <w:rPr>
                <w:sz w:val="24"/>
              </w:rPr>
              <w:t>ASGI server for </w:t>
            </w:r>
            <w:r>
              <w:rPr>
                <w:spacing w:val="-2"/>
                <w:sz w:val="24"/>
              </w:rPr>
              <w:t>FastAPI</w:t>
            </w:r>
          </w:p>
        </w:tc>
      </w:tr>
    </w:tbl>
    <w:p>
      <w:pPr>
        <w:pStyle w:val="TableParagraph"/>
        <w:spacing w:after="0"/>
        <w:rPr>
          <w:sz w:val="24"/>
        </w:rPr>
        <w:sectPr>
          <w:pgSz w:w="11910" w:h="16840"/>
          <w:pgMar w:header="0" w:footer="626" w:top="1480" w:bottom="820" w:left="1275" w:right="1275"/>
        </w:sectPr>
      </w:pPr>
    </w:p>
    <w:p>
      <w:pPr>
        <w:pStyle w:val="Heading1"/>
        <w:spacing w:line="566" w:lineRule="auto"/>
        <w:ind w:left="2587" w:right="2585"/>
      </w:pPr>
      <w:bookmarkStart w:name="_TOC_250011" w:id="18"/>
      <w:r>
        <w:rPr/>
        <w:t>CHAPTER 4 </w:t>
      </w:r>
      <w:bookmarkEnd w:id="18"/>
      <w:r>
        <w:rPr>
          <w:spacing w:val="-2"/>
        </w:rPr>
        <w:t>IMPLEMENTATION</w:t>
      </w:r>
    </w:p>
    <w:p>
      <w:pPr>
        <w:spacing w:line="20" w:lineRule="exact"/>
        <w:ind w:left="285" w:right="0" w:firstLine="0"/>
        <w:rPr>
          <w:sz w:val="2"/>
        </w:rPr>
      </w:pPr>
      <w:r>
        <w:rPr>
          <w:sz w:val="2"/>
        </w:rPr>
        <mc:AlternateContent>
          <mc:Choice Requires="wps">
            <w:drawing>
              <wp:inline distT="0" distB="0" distL="0" distR="0">
                <wp:extent cx="5579110" cy="6350"/>
                <wp:effectExtent l="9525" t="0" r="2539" b="3175"/>
                <wp:docPr id="13" name="Group 13"/>
                <wp:cNvGraphicFramePr>
                  <a:graphicFrameLocks/>
                </wp:cNvGraphicFramePr>
                <a:graphic>
                  <a:graphicData uri="http://schemas.microsoft.com/office/word/2010/wordprocessingGroup">
                    <wpg:wgp>
                      <wpg:cNvPr id="13" name="Group 13"/>
                      <wpg:cNvGrpSpPr/>
                      <wpg:grpSpPr>
                        <a:xfrm>
                          <a:off x="0" y="0"/>
                          <a:ext cx="5579110" cy="6350"/>
                          <a:chExt cx="5579110" cy="6350"/>
                        </a:xfrm>
                      </wpg:grpSpPr>
                      <wps:wsp>
                        <wps:cNvPr id="14" name="Graphic 14"/>
                        <wps:cNvSpPr/>
                        <wps:spPr>
                          <a:xfrm>
                            <a:off x="0" y="3175"/>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3pt;height:.5pt;mso-position-horizontal-relative:char;mso-position-vertical-relative:line" id="docshapegroup10" coordorigin="0,0" coordsize="8786,10">
                <v:line style="position:absolute" from="0,5" to="8786,5" stroked="true" strokeweight=".5pt" strokecolor="#000000">
                  <v:stroke dashstyle="solid"/>
                </v:line>
              </v:group>
            </w:pict>
          </mc:Fallback>
        </mc:AlternateContent>
      </w:r>
      <w:r>
        <w:rPr>
          <w:sz w:val="2"/>
        </w:rPr>
      </w:r>
    </w:p>
    <w:p>
      <w:pPr>
        <w:pStyle w:val="BodyText"/>
        <w:spacing w:before="228"/>
        <w:rPr>
          <w:b/>
        </w:rPr>
      </w:pPr>
    </w:p>
    <w:p>
      <w:pPr>
        <w:pStyle w:val="Heading2"/>
        <w:numPr>
          <w:ilvl w:val="1"/>
          <w:numId w:val="10"/>
        </w:numPr>
        <w:tabs>
          <w:tab w:pos="645" w:val="left" w:leader="none"/>
        </w:tabs>
        <w:spacing w:line="240" w:lineRule="auto" w:before="0" w:after="0"/>
        <w:ind w:left="645" w:right="0" w:hanging="360"/>
        <w:jc w:val="left"/>
      </w:pPr>
      <w:bookmarkStart w:name="_TOC_250010" w:id="19"/>
      <w:r>
        <w:rPr/>
        <w:t>Backend </w:t>
      </w:r>
      <w:bookmarkEnd w:id="19"/>
      <w:r>
        <w:rPr>
          <w:spacing w:val="-2"/>
        </w:rPr>
        <w:t>Implementation</w:t>
      </w:r>
    </w:p>
    <w:p>
      <w:pPr>
        <w:pStyle w:val="BodyText"/>
        <w:spacing w:line="312" w:lineRule="auto" w:before="204"/>
        <w:ind w:left="285" w:right="283"/>
        <w:jc w:val="both"/>
      </w:pPr>
      <w:r>
        <w:rPr/>
        <w:t>The backend is implemented in Python using the FastAPI framework, chosen for its </w:t>
      </w:r>
      <w:r>
        <w:rPr/>
        <w:t>native support for asynchronous request handling, automatic OpenAPI documentation generation, and strong typing through Pydantic models. The primary audit endpoint accepts a POST request containing a structured audit input object describing the product, facility, or supply chain to be assessed. Upon receiving a request, the orchestrator module instantiates six agent coroutines and schedules them for concurrent execution using asyncio.gather, ensuring that all agents begin processing simultaneously.</w:t>
      </w:r>
    </w:p>
    <w:p>
      <w:pPr>
        <w:pStyle w:val="BodyText"/>
        <w:spacing w:line="312" w:lineRule="auto" w:before="249"/>
        <w:ind w:left="285" w:right="283"/>
        <w:jc w:val="both"/>
      </w:pPr>
      <w:r>
        <w:rPr/>
        <w:t>Each agent is implemented as an asynchronous function that constructs a domain-</w:t>
      </w:r>
      <w:r>
        <w:rPr/>
        <w:t>specific prompt from the audit input, submits it to the Groq API using the official Python client library, and parses the response into a structured artifact. The Groq API is accessed using the chat completions interface with the LLaMA 3.3 70B model, selected for its strong instruction following and structured output capabilities. Temperature is set to 0.2 for all agents to prioritise consistency and factual accuracy over creative generation.</w:t>
      </w:r>
    </w:p>
    <w:p>
      <w:pPr>
        <w:pStyle w:val="BodyText"/>
        <w:spacing w:line="312" w:lineRule="auto" w:before="247"/>
        <w:ind w:left="285" w:right="283"/>
        <w:jc w:val="both"/>
      </w:pPr>
      <w:r>
        <w:rPr/>
        <w:t>The backend directory structure is organised as follows: main.py contains the </w:t>
      </w:r>
      <w:r>
        <w:rPr/>
        <w:t>FastAPI application and endpoint definitions; orchestrator.py implements the agent coordination logic; agents/ is a package containing one module per agent; models.py defines Pydantic input and output schemas; and utils.py provides shared utility functions including the dynamic environment variable reloading mechanism.</w:t>
      </w:r>
    </w:p>
    <w:p>
      <w:pPr>
        <w:pStyle w:val="BodyText"/>
        <w:spacing w:before="11"/>
        <w:rPr>
          <w:sz w:val="17"/>
        </w:rPr>
      </w:pPr>
      <w:r>
        <w:rPr>
          <w:sz w:val="17"/>
        </w:rPr>
        <mc:AlternateContent>
          <mc:Choice Requires="wps">
            <w:drawing>
              <wp:anchor distT="0" distB="0" distL="0" distR="0" allowOverlap="1" layoutInCell="1" locked="0" behindDoc="1" simplePos="0" relativeHeight="487592448">
                <wp:simplePos x="0" y="0"/>
                <wp:positionH relativeFrom="page">
                  <wp:posOffset>1117600</wp:posOffset>
                </wp:positionH>
                <wp:positionV relativeFrom="paragraph">
                  <wp:posOffset>146356</wp:posOffset>
                </wp:positionV>
                <wp:extent cx="5325110" cy="247650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325110" cy="2476500"/>
                        </a:xfrm>
                        <a:prstGeom prst="rect">
                          <a:avLst/>
                        </a:prstGeom>
                        <a:solidFill>
                          <a:srgbClr val="F4F4F4"/>
                        </a:solidFill>
                      </wps:spPr>
                      <wps:txbx>
                        <w:txbxContent>
                          <w:p>
                            <w:pPr>
                              <w:spacing w:line="307" w:lineRule="auto" w:before="30"/>
                              <w:ind w:left="0" w:right="4879" w:firstLine="0"/>
                              <w:jc w:val="left"/>
                              <w:rPr>
                                <w:rFonts w:ascii="Courier New"/>
                                <w:color w:val="000000"/>
                                <w:sz w:val="18"/>
                              </w:rPr>
                            </w:pPr>
                            <w:r>
                              <w:rPr>
                                <w:rFonts w:ascii="Courier New"/>
                                <w:color w:val="000000"/>
                                <w:sz w:val="18"/>
                              </w:rPr>
                              <w:t>#</w:t>
                            </w:r>
                            <w:r>
                              <w:rPr>
                                <w:rFonts w:ascii="Courier New"/>
                                <w:color w:val="000000"/>
                                <w:spacing w:val="-19"/>
                                <w:sz w:val="18"/>
                              </w:rPr>
                              <w:t> </w:t>
                            </w:r>
                            <w:r>
                              <w:rPr>
                                <w:rFonts w:ascii="Courier New"/>
                                <w:color w:val="000000"/>
                                <w:sz w:val="18"/>
                              </w:rPr>
                              <w:t>orchestrator.py</w:t>
                            </w:r>
                            <w:r>
                              <w:rPr>
                                <w:rFonts w:ascii="Courier New"/>
                                <w:color w:val="000000"/>
                                <w:spacing w:val="-19"/>
                                <w:sz w:val="18"/>
                              </w:rPr>
                              <w:t> </w:t>
                            </w:r>
                            <w:r>
                              <w:rPr>
                                <w:rFonts w:ascii="Courier New"/>
                                <w:color w:val="000000"/>
                                <w:sz w:val="18"/>
                              </w:rPr>
                              <w:t>(excerpt) import asyncio</w:t>
                            </w:r>
                          </w:p>
                          <w:p>
                            <w:pPr>
                              <w:spacing w:line="202" w:lineRule="exact" w:before="0"/>
                              <w:ind w:left="0" w:right="0" w:firstLine="0"/>
                              <w:jc w:val="left"/>
                              <w:rPr>
                                <w:rFonts w:ascii="Courier New"/>
                                <w:color w:val="000000"/>
                                <w:sz w:val="18"/>
                              </w:rPr>
                            </w:pPr>
                            <w:r>
                              <w:rPr>
                                <w:rFonts w:ascii="Courier New"/>
                                <w:color w:val="000000"/>
                                <w:sz w:val="18"/>
                              </w:rPr>
                              <w:t>from agents import (material_flow, lca_scorer, </w:t>
                            </w:r>
                            <w:r>
                              <w:rPr>
                                <w:rFonts w:ascii="Courier New"/>
                                <w:color w:val="000000"/>
                                <w:spacing w:val="-2"/>
                                <w:sz w:val="18"/>
                              </w:rPr>
                              <w:t>circularity_gap,</w:t>
                            </w:r>
                          </w:p>
                          <w:p>
                            <w:pPr>
                              <w:spacing w:before="56"/>
                              <w:ind w:left="2160" w:right="0" w:firstLine="0"/>
                              <w:jc w:val="left"/>
                              <w:rPr>
                                <w:rFonts w:ascii="Courier New"/>
                                <w:color w:val="000000"/>
                                <w:sz w:val="18"/>
                              </w:rPr>
                            </w:pPr>
                            <w:r>
                              <w:rPr>
                                <w:rFonts w:ascii="Courier New"/>
                                <w:color w:val="000000"/>
                                <w:sz w:val="18"/>
                              </w:rPr>
                              <w:t>industrial_ecology, iso_compliance, </w:t>
                            </w:r>
                            <w:r>
                              <w:rPr>
                                <w:rFonts w:ascii="Courier New"/>
                                <w:color w:val="000000"/>
                                <w:spacing w:val="-2"/>
                                <w:sz w:val="18"/>
                              </w:rPr>
                              <w:t>sdg_evaluator)</w:t>
                            </w:r>
                          </w:p>
                          <w:p>
                            <w:pPr>
                              <w:pStyle w:val="BodyText"/>
                              <w:spacing w:before="112"/>
                              <w:rPr>
                                <w:rFonts w:ascii="Courier New"/>
                                <w:color w:val="000000"/>
                                <w:sz w:val="18"/>
                              </w:rPr>
                            </w:pPr>
                          </w:p>
                          <w:p>
                            <w:pPr>
                              <w:spacing w:line="307" w:lineRule="auto" w:before="0"/>
                              <w:ind w:left="432" w:right="1209" w:hanging="433"/>
                              <w:jc w:val="left"/>
                              <w:rPr>
                                <w:rFonts w:ascii="Courier New"/>
                                <w:color w:val="000000"/>
                                <w:sz w:val="18"/>
                              </w:rPr>
                            </w:pPr>
                            <w:r>
                              <w:rPr>
                                <w:rFonts w:ascii="Courier New"/>
                                <w:color w:val="000000"/>
                                <w:sz w:val="18"/>
                              </w:rPr>
                              <w:t>async</w:t>
                            </w:r>
                            <w:r>
                              <w:rPr>
                                <w:rFonts w:ascii="Courier New"/>
                                <w:color w:val="000000"/>
                                <w:spacing w:val="-8"/>
                                <w:sz w:val="18"/>
                              </w:rPr>
                              <w:t> </w:t>
                            </w:r>
                            <w:r>
                              <w:rPr>
                                <w:rFonts w:ascii="Courier New"/>
                                <w:color w:val="000000"/>
                                <w:sz w:val="18"/>
                              </w:rPr>
                              <w:t>def</w:t>
                            </w:r>
                            <w:r>
                              <w:rPr>
                                <w:rFonts w:ascii="Courier New"/>
                                <w:color w:val="000000"/>
                                <w:spacing w:val="-8"/>
                                <w:sz w:val="18"/>
                              </w:rPr>
                              <w:t> </w:t>
                            </w:r>
                            <w:r>
                              <w:rPr>
                                <w:rFonts w:ascii="Courier New"/>
                                <w:color w:val="000000"/>
                                <w:sz w:val="18"/>
                              </w:rPr>
                              <w:t>run_audit(audit_input:</w:t>
                            </w:r>
                            <w:r>
                              <w:rPr>
                                <w:rFonts w:ascii="Courier New"/>
                                <w:color w:val="000000"/>
                                <w:spacing w:val="-8"/>
                                <w:sz w:val="18"/>
                              </w:rPr>
                              <w:t> </w:t>
                            </w:r>
                            <w:r>
                              <w:rPr>
                                <w:rFonts w:ascii="Courier New"/>
                                <w:color w:val="000000"/>
                                <w:sz w:val="18"/>
                              </w:rPr>
                              <w:t>AuditInput)</w:t>
                            </w:r>
                            <w:r>
                              <w:rPr>
                                <w:rFonts w:ascii="Courier New"/>
                                <w:color w:val="000000"/>
                                <w:spacing w:val="-8"/>
                                <w:sz w:val="18"/>
                              </w:rPr>
                              <w:t> </w:t>
                            </w:r>
                            <w:r>
                              <w:rPr>
                                <w:rFonts w:ascii="Courier New"/>
                                <w:color w:val="000000"/>
                                <w:sz w:val="18"/>
                              </w:rPr>
                              <w:t>-&gt;</w:t>
                            </w:r>
                            <w:r>
                              <w:rPr>
                                <w:rFonts w:ascii="Courier New"/>
                                <w:color w:val="000000"/>
                                <w:spacing w:val="-8"/>
                                <w:sz w:val="18"/>
                              </w:rPr>
                              <w:t> </w:t>
                            </w:r>
                            <w:r>
                              <w:rPr>
                                <w:rFonts w:ascii="Courier New"/>
                                <w:color w:val="000000"/>
                                <w:sz w:val="18"/>
                              </w:rPr>
                              <w:t>AuditReport: results = await asyncio.gather(</w:t>
                            </w:r>
                          </w:p>
                          <w:p>
                            <w:pPr>
                              <w:spacing w:line="307" w:lineRule="auto" w:before="0"/>
                              <w:ind w:left="864" w:right="1209" w:firstLine="0"/>
                              <w:jc w:val="left"/>
                              <w:rPr>
                                <w:rFonts w:ascii="Courier New"/>
                                <w:color w:val="000000"/>
                                <w:sz w:val="18"/>
                              </w:rPr>
                            </w:pPr>
                            <w:r>
                              <w:rPr>
                                <w:rFonts w:ascii="Courier New"/>
                                <w:color w:val="000000"/>
                                <w:spacing w:val="-2"/>
                                <w:sz w:val="18"/>
                              </w:rPr>
                              <w:t>material_flow.analyse(audit_input), lca_scorer.score(audit_input), circularity_gap.evaluate(audit_input), industrial_ecology.identify(audit_input), iso_compliance.check(audit_input), sdg_evaluator.evaluate(audit_input),</w:t>
                            </w:r>
                          </w:p>
                          <w:p>
                            <w:pPr>
                              <w:spacing w:line="198" w:lineRule="exact" w:before="0"/>
                              <w:ind w:left="432" w:right="0" w:firstLine="0"/>
                              <w:jc w:val="left"/>
                              <w:rPr>
                                <w:rFonts w:ascii="Courier New"/>
                                <w:color w:val="000000"/>
                                <w:sz w:val="18"/>
                              </w:rPr>
                            </w:pPr>
                            <w:r>
                              <w:rPr>
                                <w:rFonts w:ascii="Courier New"/>
                                <w:color w:val="000000"/>
                                <w:spacing w:val="-10"/>
                                <w:sz w:val="18"/>
                              </w:rPr>
                              <w:t>)</w:t>
                            </w:r>
                          </w:p>
                          <w:p>
                            <w:pPr>
                              <w:spacing w:before="54"/>
                              <w:ind w:left="432" w:right="0" w:firstLine="0"/>
                              <w:jc w:val="left"/>
                              <w:rPr>
                                <w:rFonts w:ascii="Courier New"/>
                                <w:color w:val="000000"/>
                                <w:sz w:val="18"/>
                              </w:rPr>
                            </w:pPr>
                            <w:r>
                              <w:rPr>
                                <w:rFonts w:ascii="Courier New"/>
                                <w:color w:val="000000"/>
                                <w:sz w:val="18"/>
                              </w:rPr>
                              <w:t>return </w:t>
                            </w:r>
                            <w:r>
                              <w:rPr>
                                <w:rFonts w:ascii="Courier New"/>
                                <w:color w:val="000000"/>
                                <w:spacing w:val="-2"/>
                                <w:sz w:val="18"/>
                              </w:rPr>
                              <w:t>synthesise(results)</w:t>
                            </w:r>
                          </w:p>
                        </w:txbxContent>
                      </wps:txbx>
                      <wps:bodyPr wrap="square" lIns="0" tIns="0" rIns="0" bIns="0" rtlCol="0">
                        <a:noAutofit/>
                      </wps:bodyPr>
                    </wps:wsp>
                  </a:graphicData>
                </a:graphic>
              </wp:anchor>
            </w:drawing>
          </mc:Choice>
          <mc:Fallback>
            <w:pict>
              <v:shape style="position:absolute;margin-left:88pt;margin-top:11.52417pt;width:419.3pt;height:195pt;mso-position-horizontal-relative:page;mso-position-vertical-relative:paragraph;z-index:-15724032;mso-wrap-distance-left:0;mso-wrap-distance-right:0" type="#_x0000_t202" id="docshape11" filled="true" fillcolor="#f4f4f4" stroked="false">
                <v:textbox inset="0,0,0,0">
                  <w:txbxContent>
                    <w:p>
                      <w:pPr>
                        <w:spacing w:line="307" w:lineRule="auto" w:before="30"/>
                        <w:ind w:left="0" w:right="4879" w:firstLine="0"/>
                        <w:jc w:val="left"/>
                        <w:rPr>
                          <w:rFonts w:ascii="Courier New"/>
                          <w:color w:val="000000"/>
                          <w:sz w:val="18"/>
                        </w:rPr>
                      </w:pPr>
                      <w:r>
                        <w:rPr>
                          <w:rFonts w:ascii="Courier New"/>
                          <w:color w:val="000000"/>
                          <w:sz w:val="18"/>
                        </w:rPr>
                        <w:t>#</w:t>
                      </w:r>
                      <w:r>
                        <w:rPr>
                          <w:rFonts w:ascii="Courier New"/>
                          <w:color w:val="000000"/>
                          <w:spacing w:val="-19"/>
                          <w:sz w:val="18"/>
                        </w:rPr>
                        <w:t> </w:t>
                      </w:r>
                      <w:r>
                        <w:rPr>
                          <w:rFonts w:ascii="Courier New"/>
                          <w:color w:val="000000"/>
                          <w:sz w:val="18"/>
                        </w:rPr>
                        <w:t>orchestrator.py</w:t>
                      </w:r>
                      <w:r>
                        <w:rPr>
                          <w:rFonts w:ascii="Courier New"/>
                          <w:color w:val="000000"/>
                          <w:spacing w:val="-19"/>
                          <w:sz w:val="18"/>
                        </w:rPr>
                        <w:t> </w:t>
                      </w:r>
                      <w:r>
                        <w:rPr>
                          <w:rFonts w:ascii="Courier New"/>
                          <w:color w:val="000000"/>
                          <w:sz w:val="18"/>
                        </w:rPr>
                        <w:t>(excerpt) import asyncio</w:t>
                      </w:r>
                    </w:p>
                    <w:p>
                      <w:pPr>
                        <w:spacing w:line="202" w:lineRule="exact" w:before="0"/>
                        <w:ind w:left="0" w:right="0" w:firstLine="0"/>
                        <w:jc w:val="left"/>
                        <w:rPr>
                          <w:rFonts w:ascii="Courier New"/>
                          <w:color w:val="000000"/>
                          <w:sz w:val="18"/>
                        </w:rPr>
                      </w:pPr>
                      <w:r>
                        <w:rPr>
                          <w:rFonts w:ascii="Courier New"/>
                          <w:color w:val="000000"/>
                          <w:sz w:val="18"/>
                        </w:rPr>
                        <w:t>from agents import (material_flow, lca_scorer, </w:t>
                      </w:r>
                      <w:r>
                        <w:rPr>
                          <w:rFonts w:ascii="Courier New"/>
                          <w:color w:val="000000"/>
                          <w:spacing w:val="-2"/>
                          <w:sz w:val="18"/>
                        </w:rPr>
                        <w:t>circularity_gap,</w:t>
                      </w:r>
                    </w:p>
                    <w:p>
                      <w:pPr>
                        <w:spacing w:before="56"/>
                        <w:ind w:left="2160" w:right="0" w:firstLine="0"/>
                        <w:jc w:val="left"/>
                        <w:rPr>
                          <w:rFonts w:ascii="Courier New"/>
                          <w:color w:val="000000"/>
                          <w:sz w:val="18"/>
                        </w:rPr>
                      </w:pPr>
                      <w:r>
                        <w:rPr>
                          <w:rFonts w:ascii="Courier New"/>
                          <w:color w:val="000000"/>
                          <w:sz w:val="18"/>
                        </w:rPr>
                        <w:t>industrial_ecology, iso_compliance, </w:t>
                      </w:r>
                      <w:r>
                        <w:rPr>
                          <w:rFonts w:ascii="Courier New"/>
                          <w:color w:val="000000"/>
                          <w:spacing w:val="-2"/>
                          <w:sz w:val="18"/>
                        </w:rPr>
                        <w:t>sdg_evaluator)</w:t>
                      </w:r>
                    </w:p>
                    <w:p>
                      <w:pPr>
                        <w:pStyle w:val="BodyText"/>
                        <w:spacing w:before="112"/>
                        <w:rPr>
                          <w:rFonts w:ascii="Courier New"/>
                          <w:color w:val="000000"/>
                          <w:sz w:val="18"/>
                        </w:rPr>
                      </w:pPr>
                    </w:p>
                    <w:p>
                      <w:pPr>
                        <w:spacing w:line="307" w:lineRule="auto" w:before="0"/>
                        <w:ind w:left="432" w:right="1209" w:hanging="433"/>
                        <w:jc w:val="left"/>
                        <w:rPr>
                          <w:rFonts w:ascii="Courier New"/>
                          <w:color w:val="000000"/>
                          <w:sz w:val="18"/>
                        </w:rPr>
                      </w:pPr>
                      <w:r>
                        <w:rPr>
                          <w:rFonts w:ascii="Courier New"/>
                          <w:color w:val="000000"/>
                          <w:sz w:val="18"/>
                        </w:rPr>
                        <w:t>async</w:t>
                      </w:r>
                      <w:r>
                        <w:rPr>
                          <w:rFonts w:ascii="Courier New"/>
                          <w:color w:val="000000"/>
                          <w:spacing w:val="-8"/>
                          <w:sz w:val="18"/>
                        </w:rPr>
                        <w:t> </w:t>
                      </w:r>
                      <w:r>
                        <w:rPr>
                          <w:rFonts w:ascii="Courier New"/>
                          <w:color w:val="000000"/>
                          <w:sz w:val="18"/>
                        </w:rPr>
                        <w:t>def</w:t>
                      </w:r>
                      <w:r>
                        <w:rPr>
                          <w:rFonts w:ascii="Courier New"/>
                          <w:color w:val="000000"/>
                          <w:spacing w:val="-8"/>
                          <w:sz w:val="18"/>
                        </w:rPr>
                        <w:t> </w:t>
                      </w:r>
                      <w:r>
                        <w:rPr>
                          <w:rFonts w:ascii="Courier New"/>
                          <w:color w:val="000000"/>
                          <w:sz w:val="18"/>
                        </w:rPr>
                        <w:t>run_audit(audit_input:</w:t>
                      </w:r>
                      <w:r>
                        <w:rPr>
                          <w:rFonts w:ascii="Courier New"/>
                          <w:color w:val="000000"/>
                          <w:spacing w:val="-8"/>
                          <w:sz w:val="18"/>
                        </w:rPr>
                        <w:t> </w:t>
                      </w:r>
                      <w:r>
                        <w:rPr>
                          <w:rFonts w:ascii="Courier New"/>
                          <w:color w:val="000000"/>
                          <w:sz w:val="18"/>
                        </w:rPr>
                        <w:t>AuditInput)</w:t>
                      </w:r>
                      <w:r>
                        <w:rPr>
                          <w:rFonts w:ascii="Courier New"/>
                          <w:color w:val="000000"/>
                          <w:spacing w:val="-8"/>
                          <w:sz w:val="18"/>
                        </w:rPr>
                        <w:t> </w:t>
                      </w:r>
                      <w:r>
                        <w:rPr>
                          <w:rFonts w:ascii="Courier New"/>
                          <w:color w:val="000000"/>
                          <w:sz w:val="18"/>
                        </w:rPr>
                        <w:t>-&gt;</w:t>
                      </w:r>
                      <w:r>
                        <w:rPr>
                          <w:rFonts w:ascii="Courier New"/>
                          <w:color w:val="000000"/>
                          <w:spacing w:val="-8"/>
                          <w:sz w:val="18"/>
                        </w:rPr>
                        <w:t> </w:t>
                      </w:r>
                      <w:r>
                        <w:rPr>
                          <w:rFonts w:ascii="Courier New"/>
                          <w:color w:val="000000"/>
                          <w:sz w:val="18"/>
                        </w:rPr>
                        <w:t>AuditReport: results = await asyncio.gather(</w:t>
                      </w:r>
                    </w:p>
                    <w:p>
                      <w:pPr>
                        <w:spacing w:line="307" w:lineRule="auto" w:before="0"/>
                        <w:ind w:left="864" w:right="1209" w:firstLine="0"/>
                        <w:jc w:val="left"/>
                        <w:rPr>
                          <w:rFonts w:ascii="Courier New"/>
                          <w:color w:val="000000"/>
                          <w:sz w:val="18"/>
                        </w:rPr>
                      </w:pPr>
                      <w:r>
                        <w:rPr>
                          <w:rFonts w:ascii="Courier New"/>
                          <w:color w:val="000000"/>
                          <w:spacing w:val="-2"/>
                          <w:sz w:val="18"/>
                        </w:rPr>
                        <w:t>material_flow.analyse(audit_input), lca_scorer.score(audit_input), circularity_gap.evaluate(audit_input), industrial_ecology.identify(audit_input), iso_compliance.check(audit_input), sdg_evaluator.evaluate(audit_input),</w:t>
                      </w:r>
                    </w:p>
                    <w:p>
                      <w:pPr>
                        <w:spacing w:line="198" w:lineRule="exact" w:before="0"/>
                        <w:ind w:left="432" w:right="0" w:firstLine="0"/>
                        <w:jc w:val="left"/>
                        <w:rPr>
                          <w:rFonts w:ascii="Courier New"/>
                          <w:color w:val="000000"/>
                          <w:sz w:val="18"/>
                        </w:rPr>
                      </w:pPr>
                      <w:r>
                        <w:rPr>
                          <w:rFonts w:ascii="Courier New"/>
                          <w:color w:val="000000"/>
                          <w:spacing w:val="-10"/>
                          <w:sz w:val="18"/>
                        </w:rPr>
                        <w:t>)</w:t>
                      </w:r>
                    </w:p>
                    <w:p>
                      <w:pPr>
                        <w:spacing w:before="54"/>
                        <w:ind w:left="432" w:right="0" w:firstLine="0"/>
                        <w:jc w:val="left"/>
                        <w:rPr>
                          <w:rFonts w:ascii="Courier New"/>
                          <w:color w:val="000000"/>
                          <w:sz w:val="18"/>
                        </w:rPr>
                      </w:pPr>
                      <w:r>
                        <w:rPr>
                          <w:rFonts w:ascii="Courier New"/>
                          <w:color w:val="000000"/>
                          <w:sz w:val="18"/>
                        </w:rPr>
                        <w:t>return </w:t>
                      </w:r>
                      <w:r>
                        <w:rPr>
                          <w:rFonts w:ascii="Courier New"/>
                          <w:color w:val="000000"/>
                          <w:spacing w:val="-2"/>
                          <w:sz w:val="18"/>
                        </w:rPr>
                        <w:t>synthesise(results)</w:t>
                      </w:r>
                    </w:p>
                  </w:txbxContent>
                </v:textbox>
                <v:fill type="solid"/>
                <w10:wrap type="topAndBottom"/>
              </v:shape>
            </w:pict>
          </mc:Fallback>
        </mc:AlternateContent>
      </w:r>
    </w:p>
    <w:p>
      <w:pPr>
        <w:pStyle w:val="BodyText"/>
        <w:spacing w:after="0"/>
        <w:rPr>
          <w:sz w:val="17"/>
        </w:rPr>
        <w:sectPr>
          <w:pgSz w:w="11910" w:h="16840"/>
          <w:pgMar w:header="0" w:footer="626" w:top="1500" w:bottom="820" w:left="1275" w:right="1275"/>
        </w:sectPr>
      </w:pPr>
    </w:p>
    <w:p>
      <w:pPr>
        <w:spacing w:line="249" w:lineRule="auto" w:before="75"/>
        <w:ind w:left="4258" w:right="0" w:hanging="3844"/>
        <w:jc w:val="left"/>
        <w:rPr>
          <w:sz w:val="20"/>
        </w:rPr>
      </w:pPr>
      <w:r>
        <w:rPr>
          <w:sz w:val="20"/>
        </w:rPr>
        <w:t>Note:</w:t>
      </w:r>
      <w:r>
        <w:rPr>
          <w:spacing w:val="-3"/>
          <w:sz w:val="20"/>
        </w:rPr>
        <w:t> </w:t>
      </w:r>
      <w:r>
        <w:rPr>
          <w:sz w:val="20"/>
        </w:rPr>
        <w:t>The</w:t>
      </w:r>
      <w:r>
        <w:rPr>
          <w:spacing w:val="-3"/>
          <w:sz w:val="20"/>
        </w:rPr>
        <w:t> </w:t>
      </w:r>
      <w:r>
        <w:rPr>
          <w:sz w:val="20"/>
        </w:rPr>
        <w:t>source</w:t>
      </w:r>
      <w:r>
        <w:rPr>
          <w:spacing w:val="-3"/>
          <w:sz w:val="20"/>
        </w:rPr>
        <w:t> </w:t>
      </w:r>
      <w:r>
        <w:rPr>
          <w:sz w:val="20"/>
        </w:rPr>
        <w:t>code</w:t>
      </w:r>
      <w:r>
        <w:rPr>
          <w:spacing w:val="-3"/>
          <w:sz w:val="20"/>
        </w:rPr>
        <w:t> </w:t>
      </w:r>
      <w:r>
        <w:rPr>
          <w:sz w:val="20"/>
        </w:rPr>
        <w:t>above</w:t>
      </w:r>
      <w:r>
        <w:rPr>
          <w:spacing w:val="-3"/>
          <w:sz w:val="20"/>
        </w:rPr>
        <w:t> </w:t>
      </w:r>
      <w:r>
        <w:rPr>
          <w:sz w:val="20"/>
        </w:rPr>
        <w:t>is</w:t>
      </w:r>
      <w:r>
        <w:rPr>
          <w:spacing w:val="-3"/>
          <w:sz w:val="20"/>
        </w:rPr>
        <w:t> </w:t>
      </w:r>
      <w:r>
        <w:rPr>
          <w:sz w:val="20"/>
        </w:rPr>
        <w:t>provided</w:t>
      </w:r>
      <w:r>
        <w:rPr>
          <w:spacing w:val="-3"/>
          <w:sz w:val="20"/>
        </w:rPr>
        <w:t> </w:t>
      </w:r>
      <w:r>
        <w:rPr>
          <w:sz w:val="20"/>
        </w:rPr>
        <w:t>for</w:t>
      </w:r>
      <w:r>
        <w:rPr>
          <w:spacing w:val="-3"/>
          <w:sz w:val="20"/>
        </w:rPr>
        <w:t> </w:t>
      </w:r>
      <w:r>
        <w:rPr>
          <w:sz w:val="20"/>
        </w:rPr>
        <w:t>illustrative</w:t>
      </w:r>
      <w:r>
        <w:rPr>
          <w:spacing w:val="-3"/>
          <w:sz w:val="20"/>
        </w:rPr>
        <w:t> </w:t>
      </w:r>
      <w:r>
        <w:rPr>
          <w:sz w:val="20"/>
        </w:rPr>
        <w:t>purposes.</w:t>
      </w:r>
      <w:r>
        <w:rPr>
          <w:spacing w:val="-3"/>
          <w:sz w:val="20"/>
        </w:rPr>
        <w:t> </w:t>
      </w:r>
      <w:r>
        <w:rPr>
          <w:sz w:val="20"/>
        </w:rPr>
        <w:t>Complete</w:t>
      </w:r>
      <w:r>
        <w:rPr>
          <w:spacing w:val="-3"/>
          <w:sz w:val="20"/>
        </w:rPr>
        <w:t> </w:t>
      </w:r>
      <w:r>
        <w:rPr>
          <w:sz w:val="20"/>
        </w:rPr>
        <w:t>source</w:t>
      </w:r>
      <w:r>
        <w:rPr>
          <w:spacing w:val="-3"/>
          <w:sz w:val="20"/>
        </w:rPr>
        <w:t> </w:t>
      </w:r>
      <w:r>
        <w:rPr>
          <w:sz w:val="20"/>
        </w:rPr>
        <w:t>code</w:t>
      </w:r>
      <w:r>
        <w:rPr>
          <w:spacing w:val="-3"/>
          <w:sz w:val="20"/>
        </w:rPr>
        <w:t> </w:t>
      </w:r>
      <w:r>
        <w:rPr>
          <w:sz w:val="20"/>
        </w:rPr>
        <w:t>is</w:t>
      </w:r>
      <w:r>
        <w:rPr>
          <w:spacing w:val="-3"/>
          <w:sz w:val="20"/>
        </w:rPr>
        <w:t> </w:t>
      </w:r>
      <w:r>
        <w:rPr>
          <w:sz w:val="20"/>
        </w:rPr>
        <w:t>included</w:t>
      </w:r>
      <w:r>
        <w:rPr>
          <w:spacing w:val="-3"/>
          <w:sz w:val="20"/>
        </w:rPr>
        <w:t> </w:t>
      </w:r>
      <w:r>
        <w:rPr>
          <w:sz w:val="20"/>
        </w:rPr>
        <w:t>in</w:t>
      </w:r>
      <w:r>
        <w:rPr>
          <w:spacing w:val="-3"/>
          <w:sz w:val="20"/>
        </w:rPr>
        <w:t> </w:t>
      </w:r>
      <w:r>
        <w:rPr>
          <w:sz w:val="20"/>
        </w:rPr>
        <w:t>the </w:t>
      </w:r>
      <w:r>
        <w:rPr>
          <w:spacing w:val="-2"/>
          <w:sz w:val="20"/>
        </w:rPr>
        <w:t>Appendix.</w:t>
      </w:r>
    </w:p>
    <w:p>
      <w:pPr>
        <w:pStyle w:val="BodyText"/>
        <w:rPr>
          <w:sz w:val="20"/>
        </w:rPr>
      </w:pPr>
    </w:p>
    <w:p>
      <w:pPr>
        <w:pStyle w:val="BodyText"/>
        <w:spacing w:before="48"/>
        <w:rPr>
          <w:sz w:val="20"/>
        </w:rPr>
      </w:pPr>
    </w:p>
    <w:p>
      <w:pPr>
        <w:pStyle w:val="ListParagraph"/>
        <w:numPr>
          <w:ilvl w:val="2"/>
          <w:numId w:val="10"/>
        </w:numPr>
        <w:tabs>
          <w:tab w:pos="825" w:val="left" w:leader="none"/>
        </w:tabs>
        <w:spacing w:line="240" w:lineRule="auto" w:before="1" w:after="0"/>
        <w:ind w:left="825" w:right="0" w:hanging="540"/>
        <w:jc w:val="both"/>
        <w:rPr>
          <w:b/>
          <w:sz w:val="24"/>
        </w:rPr>
      </w:pPr>
      <w:r>
        <w:rPr>
          <w:b/>
          <w:sz w:val="24"/>
        </w:rPr>
        <w:t>Environment Configuration and Dependency </w:t>
      </w:r>
      <w:r>
        <w:rPr>
          <w:b/>
          <w:spacing w:val="-2"/>
          <w:sz w:val="24"/>
        </w:rPr>
        <w:t>Management</w:t>
      </w:r>
    </w:p>
    <w:p>
      <w:pPr>
        <w:pStyle w:val="BodyText"/>
        <w:spacing w:line="312" w:lineRule="auto" w:before="164"/>
        <w:ind w:left="285" w:right="283"/>
        <w:jc w:val="both"/>
      </w:pPr>
      <w:r>
        <w:rPr/>
        <w:t>Dependencies are managed through a requirements.txt file specifying pinned versions of fastapi,</w:t>
      </w:r>
      <w:r>
        <w:rPr>
          <w:spacing w:val="4"/>
        </w:rPr>
        <w:t> </w:t>
      </w:r>
      <w:r>
        <w:rPr/>
        <w:t>uvicorn,</w:t>
      </w:r>
      <w:r>
        <w:rPr>
          <w:spacing w:val="4"/>
        </w:rPr>
        <w:t> </w:t>
      </w:r>
      <w:r>
        <w:rPr/>
        <w:t>groq,</w:t>
      </w:r>
      <w:r>
        <w:rPr>
          <w:spacing w:val="4"/>
        </w:rPr>
        <w:t> </w:t>
      </w:r>
      <w:r>
        <w:rPr/>
        <w:t>python-dotenv,</w:t>
      </w:r>
      <w:r>
        <w:rPr>
          <w:spacing w:val="4"/>
        </w:rPr>
        <w:t> </w:t>
      </w:r>
      <w:r>
        <w:rPr/>
        <w:t>pydantic,</w:t>
      </w:r>
      <w:r>
        <w:rPr>
          <w:spacing w:val="4"/>
        </w:rPr>
        <w:t> </w:t>
      </w:r>
      <w:r>
        <w:rPr/>
        <w:t>and</w:t>
      </w:r>
      <w:r>
        <w:rPr>
          <w:spacing w:val="4"/>
        </w:rPr>
        <w:t> </w:t>
      </w:r>
      <w:r>
        <w:rPr/>
        <w:t>httpx.</w:t>
      </w:r>
      <w:r>
        <w:rPr>
          <w:spacing w:val="4"/>
        </w:rPr>
        <w:t> </w:t>
      </w:r>
      <w:r>
        <w:rPr/>
        <w:t>The</w:t>
      </w:r>
      <w:r>
        <w:rPr>
          <w:spacing w:val="4"/>
        </w:rPr>
        <w:t> </w:t>
      </w:r>
      <w:r>
        <w:rPr/>
        <w:t>Groq</w:t>
      </w:r>
      <w:r>
        <w:rPr>
          <w:spacing w:val="4"/>
        </w:rPr>
        <w:t> </w:t>
      </w:r>
      <w:r>
        <w:rPr/>
        <w:t>API</w:t>
      </w:r>
      <w:r>
        <w:rPr>
          <w:spacing w:val="4"/>
        </w:rPr>
        <w:t> </w:t>
      </w:r>
      <w:r>
        <w:rPr/>
        <w:t>key</w:t>
      </w:r>
      <w:r>
        <w:rPr>
          <w:spacing w:val="4"/>
        </w:rPr>
        <w:t> </w:t>
      </w:r>
      <w:r>
        <w:rPr/>
        <w:t>is</w:t>
      </w:r>
      <w:r>
        <w:rPr>
          <w:spacing w:val="4"/>
        </w:rPr>
        <w:t> </w:t>
      </w:r>
      <w:r>
        <w:rPr/>
        <w:t>stored</w:t>
      </w:r>
      <w:r>
        <w:rPr>
          <w:spacing w:val="4"/>
        </w:rPr>
        <w:t> </w:t>
      </w:r>
      <w:r>
        <w:rPr/>
        <w:t>in</w:t>
      </w:r>
      <w:r>
        <w:rPr>
          <w:spacing w:val="4"/>
        </w:rPr>
        <w:t> </w:t>
      </w:r>
      <w:r>
        <w:rPr>
          <w:spacing w:val="-10"/>
        </w:rPr>
        <w:t>a</w:t>
      </w:r>
    </w:p>
    <w:p>
      <w:pPr>
        <w:pStyle w:val="BodyText"/>
        <w:spacing w:line="312" w:lineRule="auto" w:before="2"/>
        <w:ind w:left="285" w:right="284"/>
        <w:jc w:val="both"/>
      </w:pPr>
      <w:r>
        <w:rPr/>
        <w:t>.env file located in the backend directory. The python-dotenv library is invoked at the start of each request handler to reload environment variables from disk, implementing </w:t>
      </w:r>
      <w:r>
        <w:rPr/>
        <w:t>the dynamic key reloading feature described in Section 4.3.</w:t>
      </w:r>
    </w:p>
    <w:p>
      <w:pPr>
        <w:pStyle w:val="BodyText"/>
        <w:spacing w:before="8"/>
      </w:pPr>
    </w:p>
    <w:p>
      <w:pPr>
        <w:pStyle w:val="Heading2"/>
        <w:numPr>
          <w:ilvl w:val="1"/>
          <w:numId w:val="10"/>
        </w:numPr>
        <w:tabs>
          <w:tab w:pos="645" w:val="left" w:leader="none"/>
        </w:tabs>
        <w:spacing w:line="240" w:lineRule="auto" w:before="0" w:after="0"/>
        <w:ind w:left="645" w:right="0" w:hanging="360"/>
        <w:jc w:val="both"/>
      </w:pPr>
      <w:bookmarkStart w:name="_TOC_250009" w:id="20"/>
      <w:r>
        <w:rPr/>
        <w:t>Frontend </w:t>
      </w:r>
      <w:bookmarkEnd w:id="20"/>
      <w:r>
        <w:rPr>
          <w:spacing w:val="-2"/>
        </w:rPr>
        <w:t>Implementation</w:t>
      </w:r>
    </w:p>
    <w:p>
      <w:pPr>
        <w:pStyle w:val="BodyText"/>
        <w:spacing w:line="312" w:lineRule="auto" w:before="204"/>
        <w:ind w:left="285" w:right="283"/>
        <w:jc w:val="both"/>
      </w:pPr>
      <w:r>
        <w:rPr/>
        <w:t>The frontend is implemented as a single-page application using React, bootstrapped </w:t>
      </w:r>
      <w:r>
        <w:rPr/>
        <w:t>with Create React App. The dashboard provides three primary views: an Audit Input Form, an Agent</w:t>
      </w:r>
      <w:r>
        <w:rPr>
          <w:spacing w:val="40"/>
        </w:rPr>
        <w:t> </w:t>
      </w:r>
      <w:r>
        <w:rPr/>
        <w:t>Status</w:t>
      </w:r>
      <w:r>
        <w:rPr>
          <w:spacing w:val="40"/>
        </w:rPr>
        <w:t> </w:t>
      </w:r>
      <w:r>
        <w:rPr/>
        <w:t>Monitor,</w:t>
      </w:r>
      <w:r>
        <w:rPr>
          <w:spacing w:val="40"/>
        </w:rPr>
        <w:t> </w:t>
      </w:r>
      <w:r>
        <w:rPr/>
        <w:t>and</w:t>
      </w:r>
      <w:r>
        <w:rPr>
          <w:spacing w:val="40"/>
        </w:rPr>
        <w:t> </w:t>
      </w:r>
      <w:r>
        <w:rPr/>
        <w:t>a</w:t>
      </w:r>
      <w:r>
        <w:rPr>
          <w:spacing w:val="40"/>
        </w:rPr>
        <w:t> </w:t>
      </w:r>
      <w:r>
        <w:rPr/>
        <w:t>Synthesis</w:t>
      </w:r>
      <w:r>
        <w:rPr>
          <w:spacing w:val="40"/>
        </w:rPr>
        <w:t> </w:t>
      </w:r>
      <w:r>
        <w:rPr/>
        <w:t>Report</w:t>
      </w:r>
      <w:r>
        <w:rPr>
          <w:spacing w:val="40"/>
        </w:rPr>
        <w:t> </w:t>
      </w:r>
      <w:r>
        <w:rPr/>
        <w:t>Viewer.</w:t>
      </w:r>
      <w:r>
        <w:rPr>
          <w:spacing w:val="40"/>
        </w:rPr>
        <w:t> </w:t>
      </w:r>
      <w:r>
        <w:rPr/>
        <w:t>The</w:t>
      </w:r>
      <w:r>
        <w:rPr>
          <w:spacing w:val="40"/>
        </w:rPr>
        <w:t> </w:t>
      </w:r>
      <w:r>
        <w:rPr/>
        <w:t>Audit</w:t>
      </w:r>
      <w:r>
        <w:rPr>
          <w:spacing w:val="40"/>
        </w:rPr>
        <w:t> </w:t>
      </w:r>
      <w:r>
        <w:rPr/>
        <w:t>Input</w:t>
      </w:r>
      <w:r>
        <w:rPr>
          <w:spacing w:val="40"/>
        </w:rPr>
        <w:t> </w:t>
      </w:r>
      <w:r>
        <w:rPr/>
        <w:t>Form</w:t>
      </w:r>
      <w:r>
        <w:rPr>
          <w:spacing w:val="40"/>
        </w:rPr>
        <w:t> </w:t>
      </w:r>
      <w:r>
        <w:rPr/>
        <w:t>accepts free-text descriptions of the product or facility, supplemented by optional structured fields for industry sector, geographic location, and known material inputs.</w:t>
      </w:r>
    </w:p>
    <w:p>
      <w:pPr>
        <w:pStyle w:val="BodyText"/>
        <w:spacing w:line="312" w:lineRule="auto" w:before="246"/>
        <w:ind w:left="285" w:right="283"/>
        <w:jc w:val="both"/>
      </w:pPr>
      <w:r>
        <w:rPr/>
        <w:t>The</w:t>
      </w:r>
      <w:r>
        <w:rPr>
          <w:spacing w:val="-2"/>
        </w:rPr>
        <w:t> </w:t>
      </w:r>
      <w:r>
        <w:rPr/>
        <w:t>Agent</w:t>
      </w:r>
      <w:r>
        <w:rPr>
          <w:spacing w:val="-2"/>
        </w:rPr>
        <w:t> </w:t>
      </w:r>
      <w:r>
        <w:rPr/>
        <w:t>Status</w:t>
      </w:r>
      <w:r>
        <w:rPr>
          <w:spacing w:val="-2"/>
        </w:rPr>
        <w:t> </w:t>
      </w:r>
      <w:r>
        <w:rPr/>
        <w:t>Monitor</w:t>
      </w:r>
      <w:r>
        <w:rPr>
          <w:spacing w:val="-2"/>
        </w:rPr>
        <w:t> </w:t>
      </w:r>
      <w:r>
        <w:rPr/>
        <w:t>displays</w:t>
      </w:r>
      <w:r>
        <w:rPr>
          <w:spacing w:val="-2"/>
        </w:rPr>
        <w:t> </w:t>
      </w:r>
      <w:r>
        <w:rPr/>
        <w:t>the</w:t>
      </w:r>
      <w:r>
        <w:rPr>
          <w:spacing w:val="-2"/>
        </w:rPr>
        <w:t> </w:t>
      </w:r>
      <w:r>
        <w:rPr/>
        <w:t>real-time</w:t>
      </w:r>
      <w:r>
        <w:rPr>
          <w:spacing w:val="-2"/>
        </w:rPr>
        <w:t> </w:t>
      </w:r>
      <w:r>
        <w:rPr/>
        <w:t>completion</w:t>
      </w:r>
      <w:r>
        <w:rPr>
          <w:spacing w:val="-2"/>
        </w:rPr>
        <w:t> </w:t>
      </w:r>
      <w:r>
        <w:rPr/>
        <w:t>status</w:t>
      </w:r>
      <w:r>
        <w:rPr>
          <w:spacing w:val="-2"/>
        </w:rPr>
        <w:t> </w:t>
      </w:r>
      <w:r>
        <w:rPr/>
        <w:t>of</w:t>
      </w:r>
      <w:r>
        <w:rPr>
          <w:spacing w:val="-2"/>
        </w:rPr>
        <w:t> </w:t>
      </w:r>
      <w:r>
        <w:rPr/>
        <w:t>each</w:t>
      </w:r>
      <w:r>
        <w:rPr>
          <w:spacing w:val="-2"/>
        </w:rPr>
        <w:t> </w:t>
      </w:r>
      <w:r>
        <w:rPr/>
        <w:t>of</w:t>
      </w:r>
      <w:r>
        <w:rPr>
          <w:spacing w:val="-2"/>
        </w:rPr>
        <w:t> </w:t>
      </w:r>
      <w:r>
        <w:rPr/>
        <w:t>the</w:t>
      </w:r>
      <w:r>
        <w:rPr>
          <w:spacing w:val="-2"/>
        </w:rPr>
        <w:t> </w:t>
      </w:r>
      <w:r>
        <w:rPr/>
        <w:t>six</w:t>
      </w:r>
      <w:r>
        <w:rPr>
          <w:spacing w:val="-2"/>
        </w:rPr>
        <w:t> </w:t>
      </w:r>
      <w:r>
        <w:rPr/>
        <w:t>agents using</w:t>
      </w:r>
      <w:r>
        <w:rPr>
          <w:spacing w:val="-6"/>
        </w:rPr>
        <w:t> </w:t>
      </w:r>
      <w:r>
        <w:rPr/>
        <w:t>a</w:t>
      </w:r>
      <w:r>
        <w:rPr>
          <w:spacing w:val="-6"/>
        </w:rPr>
        <w:t> </w:t>
      </w:r>
      <w:r>
        <w:rPr/>
        <w:t>polling</w:t>
      </w:r>
      <w:r>
        <w:rPr>
          <w:spacing w:val="-6"/>
        </w:rPr>
        <w:t> </w:t>
      </w:r>
      <w:r>
        <w:rPr/>
        <w:t>mechanism</w:t>
      </w:r>
      <w:r>
        <w:rPr>
          <w:spacing w:val="-6"/>
        </w:rPr>
        <w:t> </w:t>
      </w:r>
      <w:r>
        <w:rPr/>
        <w:t>that</w:t>
      </w:r>
      <w:r>
        <w:rPr>
          <w:spacing w:val="-6"/>
        </w:rPr>
        <w:t> </w:t>
      </w:r>
      <w:r>
        <w:rPr/>
        <w:t>queries</w:t>
      </w:r>
      <w:r>
        <w:rPr>
          <w:spacing w:val="-6"/>
        </w:rPr>
        <w:t> </w:t>
      </w:r>
      <w:r>
        <w:rPr/>
        <w:t>the</w:t>
      </w:r>
      <w:r>
        <w:rPr>
          <w:spacing w:val="-6"/>
        </w:rPr>
        <w:t> </w:t>
      </w:r>
      <w:r>
        <w:rPr/>
        <w:t>backend</w:t>
      </w:r>
      <w:r>
        <w:rPr>
          <w:spacing w:val="-6"/>
        </w:rPr>
        <w:t> </w:t>
      </w:r>
      <w:r>
        <w:rPr/>
        <w:t>status</w:t>
      </w:r>
      <w:r>
        <w:rPr>
          <w:spacing w:val="-6"/>
        </w:rPr>
        <w:t> </w:t>
      </w:r>
      <w:r>
        <w:rPr/>
        <w:t>endpoint</w:t>
      </w:r>
      <w:r>
        <w:rPr>
          <w:spacing w:val="-6"/>
        </w:rPr>
        <w:t> </w:t>
      </w:r>
      <w:r>
        <w:rPr/>
        <w:t>at</w:t>
      </w:r>
      <w:r>
        <w:rPr>
          <w:spacing w:val="-6"/>
        </w:rPr>
        <w:t> </w:t>
      </w:r>
      <w:r>
        <w:rPr/>
        <w:t>two-second</w:t>
      </w:r>
      <w:r>
        <w:rPr>
          <w:spacing w:val="-6"/>
        </w:rPr>
        <w:t> </w:t>
      </w:r>
      <w:r>
        <w:rPr/>
        <w:t>intervals. Each agent is represented by a card component that transitions through Pending, Running, and Complete states, with the agent output rendered inline upon completion. The Synthesis Report Viewer presents the final unified report in a structured, section-navigable format with collapsible subsections for each agent's contribution.</w:t>
      </w:r>
    </w:p>
    <w:p>
      <w:pPr>
        <w:pStyle w:val="BodyText"/>
        <w:spacing w:line="312" w:lineRule="auto" w:before="247"/>
        <w:ind w:left="285" w:right="283"/>
        <w:jc w:val="both"/>
      </w:pPr>
      <w:r>
        <w:rPr/>
        <w:t>State management is implemented using React's built-in useState and useEffect hooks, avoiding the overhead of external state management libraries for the current feature set. API communication with the backend is handled through the Fetch API with </w:t>
      </w:r>
      <w:r>
        <w:rPr/>
        <w:t>JSON serialisation. The frontend is served on port 3000 and is configured to proxy API requests to the backend on port 8000 through the Create React App development proxy setting.</w:t>
      </w:r>
    </w:p>
    <w:p>
      <w:pPr>
        <w:pStyle w:val="BodyText"/>
        <w:spacing w:before="10"/>
      </w:pPr>
    </w:p>
    <w:p>
      <w:pPr>
        <w:pStyle w:val="Heading2"/>
        <w:numPr>
          <w:ilvl w:val="1"/>
          <w:numId w:val="10"/>
        </w:numPr>
        <w:tabs>
          <w:tab w:pos="645" w:val="left" w:leader="none"/>
        </w:tabs>
        <w:spacing w:line="240" w:lineRule="auto" w:before="0" w:after="0"/>
        <w:ind w:left="645" w:right="0" w:hanging="360"/>
        <w:jc w:val="both"/>
      </w:pPr>
      <w:bookmarkStart w:name="_TOC_250008" w:id="21"/>
      <w:r>
        <w:rPr/>
        <w:t>Dynamic Key </w:t>
      </w:r>
      <w:bookmarkEnd w:id="21"/>
      <w:r>
        <w:rPr>
          <w:spacing w:val="-2"/>
        </w:rPr>
        <w:t>Reloading</w:t>
      </w:r>
    </w:p>
    <w:p>
      <w:pPr>
        <w:pStyle w:val="BodyText"/>
        <w:spacing w:line="312" w:lineRule="auto" w:before="204"/>
        <w:ind w:left="285" w:right="283"/>
        <w:jc w:val="both"/>
      </w:pPr>
      <w:r>
        <w:rPr/>
        <w:t>A distinctive operational feature of MACEA is its support for dynamic API key reloading without server restart. This is particularly valuable in production environments where </w:t>
      </w:r>
      <w:r>
        <w:rPr/>
        <w:t>API keys</w:t>
      </w:r>
      <w:r>
        <w:rPr>
          <w:spacing w:val="40"/>
        </w:rPr>
        <w:t> </w:t>
      </w:r>
      <w:r>
        <w:rPr/>
        <w:t>may</w:t>
      </w:r>
      <w:r>
        <w:rPr>
          <w:spacing w:val="40"/>
        </w:rPr>
        <w:t> </w:t>
      </w:r>
      <w:r>
        <w:rPr/>
        <w:t>be</w:t>
      </w:r>
      <w:r>
        <w:rPr>
          <w:spacing w:val="40"/>
        </w:rPr>
        <w:t> </w:t>
      </w:r>
      <w:r>
        <w:rPr/>
        <w:t>rotated</w:t>
      </w:r>
      <w:r>
        <w:rPr>
          <w:spacing w:val="40"/>
        </w:rPr>
        <w:t> </w:t>
      </w:r>
      <w:r>
        <w:rPr/>
        <w:t>on</w:t>
      </w:r>
      <w:r>
        <w:rPr>
          <w:spacing w:val="40"/>
        </w:rPr>
        <w:t> </w:t>
      </w:r>
      <w:r>
        <w:rPr/>
        <w:t>a</w:t>
      </w:r>
      <w:r>
        <w:rPr>
          <w:spacing w:val="40"/>
        </w:rPr>
        <w:t> </w:t>
      </w:r>
      <w:r>
        <w:rPr/>
        <w:t>schedule</w:t>
      </w:r>
      <w:r>
        <w:rPr>
          <w:spacing w:val="40"/>
        </w:rPr>
        <w:t> </w:t>
      </w:r>
      <w:r>
        <w:rPr/>
        <w:t>or</w:t>
      </w:r>
      <w:r>
        <w:rPr>
          <w:spacing w:val="40"/>
        </w:rPr>
        <w:t> </w:t>
      </w:r>
      <w:r>
        <w:rPr/>
        <w:t>where</w:t>
      </w:r>
      <w:r>
        <w:rPr>
          <w:spacing w:val="40"/>
        </w:rPr>
        <w:t> </w:t>
      </w:r>
      <w:r>
        <w:rPr/>
        <w:t>a</w:t>
      </w:r>
      <w:r>
        <w:rPr>
          <w:spacing w:val="40"/>
        </w:rPr>
        <w:t> </w:t>
      </w:r>
      <w:r>
        <w:rPr/>
        <w:t>key</w:t>
      </w:r>
      <w:r>
        <w:rPr>
          <w:spacing w:val="40"/>
        </w:rPr>
        <w:t> </w:t>
      </w:r>
      <w:r>
        <w:rPr/>
        <w:t>may</w:t>
      </w:r>
      <w:r>
        <w:rPr>
          <w:spacing w:val="40"/>
        </w:rPr>
        <w:t> </w:t>
      </w:r>
      <w:r>
        <w:rPr/>
        <w:t>exhaust</w:t>
      </w:r>
      <w:r>
        <w:rPr>
          <w:spacing w:val="40"/>
        </w:rPr>
        <w:t> </w:t>
      </w:r>
      <w:r>
        <w:rPr/>
        <w:t>its</w:t>
      </w:r>
      <w:r>
        <w:rPr>
          <w:spacing w:val="40"/>
        </w:rPr>
        <w:t> </w:t>
      </w:r>
      <w:r>
        <w:rPr/>
        <w:t>credit</w:t>
      </w:r>
      <w:r>
        <w:rPr>
          <w:spacing w:val="40"/>
        </w:rPr>
        <w:t> </w:t>
      </w:r>
      <w:r>
        <w:rPr/>
        <w:t>allocation mid-session. The implementation invokes python-dotenv's load_dotenv function with the override=True parameter at the beginning of each request handler, causing the application to re-read the .env file on every incoming request. The Groq client is then instantiated with the</w:t>
      </w:r>
      <w:r>
        <w:rPr>
          <w:spacing w:val="-2"/>
        </w:rPr>
        <w:t> </w:t>
      </w:r>
      <w:r>
        <w:rPr/>
        <w:t>freshly</w:t>
      </w:r>
      <w:r>
        <w:rPr>
          <w:spacing w:val="-2"/>
        </w:rPr>
        <w:t> </w:t>
      </w:r>
      <w:r>
        <w:rPr/>
        <w:t>loaded</w:t>
      </w:r>
      <w:r>
        <w:rPr>
          <w:spacing w:val="-2"/>
        </w:rPr>
        <w:t> </w:t>
      </w:r>
      <w:r>
        <w:rPr/>
        <w:t>API</w:t>
      </w:r>
      <w:r>
        <w:rPr>
          <w:spacing w:val="-2"/>
        </w:rPr>
        <w:t> </w:t>
      </w:r>
      <w:r>
        <w:rPr/>
        <w:t>key</w:t>
      </w:r>
      <w:r>
        <w:rPr>
          <w:spacing w:val="-2"/>
        </w:rPr>
        <w:t> </w:t>
      </w:r>
      <w:r>
        <w:rPr/>
        <w:t>for</w:t>
      </w:r>
      <w:r>
        <w:rPr>
          <w:spacing w:val="-2"/>
        </w:rPr>
        <w:t> </w:t>
      </w:r>
      <w:r>
        <w:rPr/>
        <w:t>that</w:t>
      </w:r>
      <w:r>
        <w:rPr>
          <w:spacing w:val="-2"/>
        </w:rPr>
        <w:t> </w:t>
      </w:r>
      <w:r>
        <w:rPr/>
        <w:t>request,</w:t>
      </w:r>
      <w:r>
        <w:rPr>
          <w:spacing w:val="-2"/>
        </w:rPr>
        <w:t> </w:t>
      </w:r>
      <w:r>
        <w:rPr/>
        <w:t>ensuring</w:t>
      </w:r>
      <w:r>
        <w:rPr>
          <w:spacing w:val="-2"/>
        </w:rPr>
        <w:t> </w:t>
      </w:r>
      <w:r>
        <w:rPr/>
        <w:t>that</w:t>
      </w:r>
      <w:r>
        <w:rPr>
          <w:spacing w:val="-2"/>
        </w:rPr>
        <w:t> </w:t>
      </w:r>
      <w:r>
        <w:rPr/>
        <w:t>a</w:t>
      </w:r>
      <w:r>
        <w:rPr>
          <w:spacing w:val="-2"/>
        </w:rPr>
        <w:t> </w:t>
      </w:r>
      <w:r>
        <w:rPr/>
        <w:t>newly</w:t>
      </w:r>
      <w:r>
        <w:rPr>
          <w:spacing w:val="-2"/>
        </w:rPr>
        <w:t> </w:t>
      </w:r>
      <w:r>
        <w:rPr/>
        <w:t>pasted</w:t>
      </w:r>
      <w:r>
        <w:rPr>
          <w:spacing w:val="-2"/>
        </w:rPr>
        <w:t> </w:t>
      </w:r>
      <w:r>
        <w:rPr/>
        <w:t>key</w:t>
      </w:r>
      <w:r>
        <w:rPr>
          <w:spacing w:val="-2"/>
        </w:rPr>
        <w:t> </w:t>
      </w:r>
      <w:r>
        <w:rPr/>
        <w:t>takes</w:t>
      </w:r>
      <w:r>
        <w:rPr>
          <w:spacing w:val="-2"/>
        </w:rPr>
        <w:t> </w:t>
      </w:r>
      <w:r>
        <w:rPr/>
        <w:t>effect</w:t>
      </w:r>
      <w:r>
        <w:rPr>
          <w:spacing w:val="-2"/>
        </w:rPr>
        <w:t> </w:t>
      </w:r>
      <w:r>
        <w:rPr>
          <w:spacing w:val="-5"/>
        </w:rPr>
        <w:t>on</w:t>
      </w:r>
    </w:p>
    <w:p>
      <w:pPr>
        <w:pStyle w:val="BodyText"/>
        <w:spacing w:after="0" w:line="312" w:lineRule="auto"/>
        <w:jc w:val="both"/>
        <w:sectPr>
          <w:pgSz w:w="11910" w:h="16840"/>
          <w:pgMar w:header="0" w:footer="626" w:top="1480" w:bottom="820" w:left="1275" w:right="1275"/>
        </w:sectPr>
      </w:pPr>
    </w:p>
    <w:p>
      <w:pPr>
        <w:pStyle w:val="BodyText"/>
        <w:spacing w:before="78"/>
        <w:ind w:left="285"/>
      </w:pPr>
      <w:r>
        <w:rPr/>
        <w:t>the next audit submission without any service </w:t>
      </w:r>
      <w:r>
        <w:rPr>
          <w:spacing w:val="-2"/>
        </w:rPr>
        <w:t>interruption.</w:t>
      </w:r>
    </w:p>
    <w:p>
      <w:pPr>
        <w:pStyle w:val="BodyText"/>
        <w:spacing w:after="0"/>
        <w:sectPr>
          <w:pgSz w:w="11910" w:h="16840"/>
          <w:pgMar w:header="0" w:footer="626" w:top="1480" w:bottom="820" w:left="1275" w:right="1275"/>
        </w:sectPr>
      </w:pPr>
    </w:p>
    <w:p>
      <w:pPr>
        <w:pStyle w:val="Heading1"/>
        <w:spacing w:line="566" w:lineRule="auto"/>
        <w:ind w:left="2810" w:right="2637" w:firstLine="1077"/>
        <w:jc w:val="left"/>
      </w:pPr>
      <w:bookmarkStart w:name="_TOC_250007" w:id="22"/>
      <w:r>
        <w:rPr/>
        <w:t>CHAPTER 5 RESULTS</w:t>
      </w:r>
      <w:r>
        <w:rPr>
          <w:spacing w:val="-17"/>
        </w:rPr>
        <w:t> </w:t>
      </w:r>
      <w:r>
        <w:rPr/>
        <w:t>AND</w:t>
      </w:r>
      <w:r>
        <w:rPr>
          <w:spacing w:val="-17"/>
        </w:rPr>
        <w:t> </w:t>
      </w:r>
      <w:bookmarkEnd w:id="22"/>
      <w:r>
        <w:rPr/>
        <w:t>DISCUSSION</w:t>
      </w:r>
    </w:p>
    <w:p>
      <w:pPr>
        <w:spacing w:line="20" w:lineRule="exact"/>
        <w:ind w:left="285" w:right="0" w:firstLine="0"/>
        <w:rPr>
          <w:sz w:val="2"/>
        </w:rPr>
      </w:pPr>
      <w:r>
        <w:rPr>
          <w:sz w:val="2"/>
        </w:rPr>
        <mc:AlternateContent>
          <mc:Choice Requires="wps">
            <w:drawing>
              <wp:inline distT="0" distB="0" distL="0" distR="0">
                <wp:extent cx="5579110" cy="6350"/>
                <wp:effectExtent l="9525" t="0" r="2539" b="3175"/>
                <wp:docPr id="16" name="Group 16"/>
                <wp:cNvGraphicFramePr>
                  <a:graphicFrameLocks/>
                </wp:cNvGraphicFramePr>
                <a:graphic>
                  <a:graphicData uri="http://schemas.microsoft.com/office/word/2010/wordprocessingGroup">
                    <wpg:wgp>
                      <wpg:cNvPr id="16" name="Group 16"/>
                      <wpg:cNvGrpSpPr/>
                      <wpg:grpSpPr>
                        <a:xfrm>
                          <a:off x="0" y="0"/>
                          <a:ext cx="5579110" cy="6350"/>
                          <a:chExt cx="5579110" cy="6350"/>
                        </a:xfrm>
                      </wpg:grpSpPr>
                      <wps:wsp>
                        <wps:cNvPr id="17" name="Graphic 17"/>
                        <wps:cNvSpPr/>
                        <wps:spPr>
                          <a:xfrm>
                            <a:off x="0" y="3175"/>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3pt;height:.5pt;mso-position-horizontal-relative:char;mso-position-vertical-relative:line" id="docshapegroup12" coordorigin="0,0" coordsize="8786,10">
                <v:line style="position:absolute" from="0,5" to="8786,5" stroked="true" strokeweight=".5pt" strokecolor="#000000">
                  <v:stroke dashstyle="solid"/>
                </v:line>
              </v:group>
            </w:pict>
          </mc:Fallback>
        </mc:AlternateContent>
      </w:r>
      <w:r>
        <w:rPr>
          <w:sz w:val="2"/>
        </w:rPr>
      </w:r>
    </w:p>
    <w:p>
      <w:pPr>
        <w:pStyle w:val="BodyText"/>
        <w:spacing w:before="228"/>
        <w:rPr>
          <w:b/>
        </w:rPr>
      </w:pPr>
    </w:p>
    <w:p>
      <w:pPr>
        <w:pStyle w:val="Heading2"/>
        <w:numPr>
          <w:ilvl w:val="1"/>
          <w:numId w:val="11"/>
        </w:numPr>
        <w:tabs>
          <w:tab w:pos="645" w:val="left" w:leader="none"/>
        </w:tabs>
        <w:spacing w:line="240" w:lineRule="auto" w:before="0" w:after="0"/>
        <w:ind w:left="645" w:right="0" w:hanging="360"/>
        <w:jc w:val="both"/>
      </w:pPr>
      <w:bookmarkStart w:name="_TOC_250006" w:id="23"/>
      <w:r>
        <w:rPr/>
        <w:t>Sample Audit </w:t>
      </w:r>
      <w:bookmarkEnd w:id="23"/>
      <w:r>
        <w:rPr>
          <w:spacing w:val="-2"/>
        </w:rPr>
        <w:t>Execution</w:t>
      </w:r>
    </w:p>
    <w:p>
      <w:pPr>
        <w:pStyle w:val="BodyText"/>
        <w:spacing w:line="312" w:lineRule="auto" w:before="204"/>
        <w:ind w:left="285" w:right="283"/>
        <w:jc w:val="both"/>
      </w:pPr>
      <w:r>
        <w:rPr/>
        <w:t>To demonstrate the capabilities of MACEA, a sample audit was conducted on </w:t>
      </w:r>
      <w:r>
        <w:rPr/>
        <w:t>a hypothetical medium-scale plastics compounding facility that receives virgin polymer pellets, compounding additives, and packaging materials as inputs, and produces specialty polymer compounds as its primary output, with purge material, off-spec compounds, and cooling water as secondary outputs. The audit input was submitted through the React dashboard, and all six agents completed their analyses within 18 seconds of submission — a substantial improvement over the estimated two to three days required for an equivalent manual assessment.</w:t>
      </w:r>
    </w:p>
    <w:p>
      <w:pPr>
        <w:pStyle w:val="BodyText"/>
        <w:spacing w:before="14"/>
      </w:pPr>
    </w:p>
    <w:p>
      <w:pPr>
        <w:pStyle w:val="Heading2"/>
        <w:numPr>
          <w:ilvl w:val="1"/>
          <w:numId w:val="11"/>
        </w:numPr>
        <w:tabs>
          <w:tab w:pos="645" w:val="left" w:leader="none"/>
        </w:tabs>
        <w:spacing w:line="240" w:lineRule="auto" w:before="0" w:after="0"/>
        <w:ind w:left="645" w:right="0" w:hanging="360"/>
        <w:jc w:val="both"/>
      </w:pPr>
      <w:bookmarkStart w:name="_TOC_250005" w:id="24"/>
      <w:r>
        <w:rPr/>
        <w:t>Agent </w:t>
      </w:r>
      <w:bookmarkEnd w:id="24"/>
      <w:r>
        <w:rPr>
          <w:spacing w:val="-2"/>
        </w:rPr>
        <w:t>Findings</w:t>
      </w:r>
    </w:p>
    <w:p>
      <w:pPr>
        <w:pStyle w:val="ListParagraph"/>
        <w:numPr>
          <w:ilvl w:val="2"/>
          <w:numId w:val="11"/>
        </w:numPr>
        <w:tabs>
          <w:tab w:pos="825" w:val="left" w:leader="none"/>
        </w:tabs>
        <w:spacing w:line="240" w:lineRule="auto" w:before="244" w:after="0"/>
        <w:ind w:left="825" w:right="0" w:hanging="540"/>
        <w:jc w:val="both"/>
        <w:rPr>
          <w:b/>
          <w:sz w:val="24"/>
        </w:rPr>
      </w:pPr>
      <w:r>
        <w:rPr>
          <w:b/>
          <w:sz w:val="24"/>
        </w:rPr>
        <w:t>Material Flow </w:t>
      </w:r>
      <w:r>
        <w:rPr>
          <w:b/>
          <w:spacing w:val="-2"/>
          <w:sz w:val="24"/>
        </w:rPr>
        <w:t>Analysis</w:t>
      </w:r>
    </w:p>
    <w:p>
      <w:pPr>
        <w:pStyle w:val="BodyText"/>
        <w:spacing w:line="312" w:lineRule="auto" w:before="164"/>
        <w:ind w:left="285" w:right="283"/>
        <w:jc w:val="both"/>
      </w:pPr>
      <w:r>
        <w:rPr/>
        <w:t>The</w:t>
      </w:r>
      <w:r>
        <w:rPr>
          <w:spacing w:val="-2"/>
        </w:rPr>
        <w:t> </w:t>
      </w:r>
      <w:r>
        <w:rPr/>
        <w:t>Material</w:t>
      </w:r>
      <w:r>
        <w:rPr>
          <w:spacing w:val="-2"/>
        </w:rPr>
        <w:t> </w:t>
      </w:r>
      <w:r>
        <w:rPr/>
        <w:t>Flow</w:t>
      </w:r>
      <w:r>
        <w:rPr>
          <w:spacing w:val="-2"/>
        </w:rPr>
        <w:t> </w:t>
      </w:r>
      <w:r>
        <w:rPr/>
        <w:t>Analyst</w:t>
      </w:r>
      <w:r>
        <w:rPr>
          <w:spacing w:val="-2"/>
        </w:rPr>
        <w:t> </w:t>
      </w:r>
      <w:r>
        <w:rPr/>
        <w:t>identified</w:t>
      </w:r>
      <w:r>
        <w:rPr>
          <w:spacing w:val="-2"/>
        </w:rPr>
        <w:t> </w:t>
      </w:r>
      <w:r>
        <w:rPr/>
        <w:t>three</w:t>
      </w:r>
      <w:r>
        <w:rPr>
          <w:spacing w:val="-2"/>
        </w:rPr>
        <w:t> </w:t>
      </w:r>
      <w:r>
        <w:rPr/>
        <w:t>primary</w:t>
      </w:r>
      <w:r>
        <w:rPr>
          <w:spacing w:val="-2"/>
        </w:rPr>
        <w:t> </w:t>
      </w:r>
      <w:r>
        <w:rPr/>
        <w:t>input</w:t>
      </w:r>
      <w:r>
        <w:rPr>
          <w:spacing w:val="-2"/>
        </w:rPr>
        <w:t> </w:t>
      </w:r>
      <w:r>
        <w:rPr/>
        <w:t>streams</w:t>
      </w:r>
      <w:r>
        <w:rPr>
          <w:spacing w:val="-2"/>
        </w:rPr>
        <w:t> </w:t>
      </w:r>
      <w:r>
        <w:rPr/>
        <w:t>—</w:t>
      </w:r>
      <w:r>
        <w:rPr>
          <w:spacing w:val="-2"/>
        </w:rPr>
        <w:t> </w:t>
      </w:r>
      <w:r>
        <w:rPr/>
        <w:t>virgin</w:t>
      </w:r>
      <w:r>
        <w:rPr>
          <w:spacing w:val="-2"/>
        </w:rPr>
        <w:t> </w:t>
      </w:r>
      <w:r>
        <w:rPr/>
        <w:t>polymer</w:t>
      </w:r>
      <w:r>
        <w:rPr>
          <w:spacing w:val="-2"/>
        </w:rPr>
        <w:t> </w:t>
      </w:r>
      <w:r>
        <w:rPr/>
        <w:t>pellets (approximately 85% by mass), compounding additives (12%), and packaging materials (3%) — and four output streams: saleable compounds (78%), off-spec rejects (9%), purge material (8%), and cooling water discharge (5%). The agent flagged the off-spec reject stream as the highest-priority waste stream for intervention, noting that it was currently directed to landfill rather than being reprocessed or resold as secondary raw material.</w:t>
      </w:r>
    </w:p>
    <w:p>
      <w:pPr>
        <w:pStyle w:val="ListParagraph"/>
        <w:numPr>
          <w:ilvl w:val="2"/>
          <w:numId w:val="11"/>
        </w:numPr>
        <w:tabs>
          <w:tab w:pos="825" w:val="left" w:leader="none"/>
        </w:tabs>
        <w:spacing w:line="240" w:lineRule="auto" w:before="247" w:after="0"/>
        <w:ind w:left="825" w:right="0" w:hanging="540"/>
        <w:jc w:val="left"/>
        <w:rPr>
          <w:b/>
          <w:sz w:val="24"/>
        </w:rPr>
      </w:pPr>
      <w:r>
        <w:rPr>
          <w:b/>
          <w:sz w:val="24"/>
        </w:rPr>
        <w:t>LCA </w:t>
      </w:r>
      <w:r>
        <w:rPr>
          <w:b/>
          <w:spacing w:val="-2"/>
          <w:sz w:val="24"/>
        </w:rPr>
        <w:t>Scores</w:t>
      </w:r>
    </w:p>
    <w:p>
      <w:pPr>
        <w:spacing w:before="162"/>
        <w:ind w:left="0" w:right="0" w:firstLine="0"/>
        <w:jc w:val="center"/>
        <w:rPr>
          <w:sz w:val="20"/>
        </w:rPr>
      </w:pPr>
      <w:r>
        <w:rPr>
          <w:sz w:val="20"/>
        </w:rPr>
        <w:t>Table 5.1: LCA Scorer Agent Output — Sample </w:t>
      </w:r>
      <w:r>
        <w:rPr>
          <w:spacing w:val="-2"/>
          <w:sz w:val="20"/>
        </w:rPr>
        <w:t>Audit</w:t>
      </w:r>
    </w:p>
    <w:p>
      <w:pPr>
        <w:pStyle w:val="BodyText"/>
        <w:spacing w:before="8" w:after="1"/>
        <w:rPr>
          <w:sz w:val="12"/>
        </w:rPr>
      </w:pPr>
    </w:p>
    <w:tbl>
      <w:tblPr>
        <w:tblW w:w="0" w:type="auto"/>
        <w:jc w:val="left"/>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4"/>
        <w:gridCol w:w="1728"/>
        <w:gridCol w:w="5184"/>
      </w:tblGrid>
      <w:tr>
        <w:trPr>
          <w:trHeight w:val="545" w:hRule="atLeast"/>
        </w:trPr>
        <w:tc>
          <w:tcPr>
            <w:tcW w:w="2304" w:type="dxa"/>
            <w:tcBorders>
              <w:bottom w:val="single" w:sz="4" w:space="0" w:color="808080"/>
              <w:right w:val="single" w:sz="4" w:space="0" w:color="808080"/>
            </w:tcBorders>
            <w:shd w:val="clear" w:color="auto" w:fill="CFE2F2"/>
          </w:tcPr>
          <w:p>
            <w:pPr>
              <w:pStyle w:val="TableParagraph"/>
              <w:spacing w:before="106"/>
              <w:ind w:left="100"/>
              <w:rPr>
                <w:b/>
                <w:sz w:val="24"/>
              </w:rPr>
            </w:pPr>
            <w:r>
              <w:rPr>
                <w:b/>
                <w:sz w:val="24"/>
              </w:rPr>
              <w:t>Impact </w:t>
            </w:r>
            <w:r>
              <w:rPr>
                <w:b/>
                <w:spacing w:val="-2"/>
                <w:sz w:val="24"/>
              </w:rPr>
              <w:t>Category</w:t>
            </w:r>
          </w:p>
        </w:tc>
        <w:tc>
          <w:tcPr>
            <w:tcW w:w="1728" w:type="dxa"/>
            <w:tcBorders>
              <w:left w:val="single" w:sz="4" w:space="0" w:color="808080"/>
              <w:bottom w:val="single" w:sz="4" w:space="0" w:color="808080"/>
              <w:right w:val="single" w:sz="4" w:space="0" w:color="808080"/>
            </w:tcBorders>
            <w:shd w:val="clear" w:color="auto" w:fill="CFE2F2"/>
          </w:tcPr>
          <w:p>
            <w:pPr>
              <w:pStyle w:val="TableParagraph"/>
              <w:spacing w:before="106"/>
              <w:ind w:left="105"/>
              <w:rPr>
                <w:b/>
                <w:sz w:val="24"/>
              </w:rPr>
            </w:pPr>
            <w:r>
              <w:rPr>
                <w:b/>
                <w:sz w:val="24"/>
              </w:rPr>
              <w:t>Score (0–</w:t>
            </w:r>
            <w:r>
              <w:rPr>
                <w:b/>
                <w:spacing w:val="-4"/>
                <w:sz w:val="24"/>
              </w:rPr>
              <w:t>100)</w:t>
            </w:r>
          </w:p>
        </w:tc>
        <w:tc>
          <w:tcPr>
            <w:tcW w:w="5184" w:type="dxa"/>
            <w:tcBorders>
              <w:left w:val="single" w:sz="4" w:space="0" w:color="808080"/>
              <w:bottom w:val="single" w:sz="4" w:space="0" w:color="808080"/>
            </w:tcBorders>
            <w:shd w:val="clear" w:color="auto" w:fill="CFE2F2"/>
          </w:tcPr>
          <w:p>
            <w:pPr>
              <w:pStyle w:val="TableParagraph"/>
              <w:spacing w:before="106"/>
              <w:ind w:left="105"/>
              <w:rPr>
                <w:b/>
                <w:sz w:val="24"/>
              </w:rPr>
            </w:pPr>
            <w:r>
              <w:rPr>
                <w:b/>
                <w:spacing w:val="-2"/>
                <w:sz w:val="24"/>
              </w:rPr>
              <w:t>Assessment</w:t>
            </w:r>
          </w:p>
        </w:tc>
      </w:tr>
      <w:tr>
        <w:trPr>
          <w:trHeight w:val="1270" w:hRule="atLeast"/>
        </w:trPr>
        <w:tc>
          <w:tcPr>
            <w:tcW w:w="2304" w:type="dxa"/>
            <w:tcBorders>
              <w:top w:val="single" w:sz="4" w:space="0" w:color="808080"/>
              <w:bottom w:val="single" w:sz="4" w:space="0" w:color="808080"/>
              <w:right w:val="single" w:sz="4" w:space="0" w:color="808080"/>
            </w:tcBorders>
          </w:tcPr>
          <w:p>
            <w:pPr>
              <w:pStyle w:val="TableParagraph"/>
              <w:spacing w:before="194"/>
              <w:rPr>
                <w:sz w:val="24"/>
              </w:rPr>
            </w:pPr>
          </w:p>
          <w:p>
            <w:pPr>
              <w:pStyle w:val="TableParagraph"/>
              <w:ind w:left="100"/>
              <w:rPr>
                <w:sz w:val="24"/>
              </w:rPr>
            </w:pPr>
            <w:r>
              <w:rPr>
                <w:sz w:val="24"/>
              </w:rPr>
              <w:t>Carbon </w:t>
            </w:r>
            <w:r>
              <w:rPr>
                <w:spacing w:val="-2"/>
                <w:sz w:val="24"/>
              </w:rPr>
              <w:t>Footprint</w:t>
            </w:r>
          </w:p>
        </w:tc>
        <w:tc>
          <w:tcPr>
            <w:tcW w:w="1728" w:type="dxa"/>
            <w:tcBorders>
              <w:top w:val="single" w:sz="4" w:space="0" w:color="808080"/>
              <w:left w:val="single" w:sz="4" w:space="0" w:color="808080"/>
              <w:bottom w:val="single" w:sz="4" w:space="0" w:color="808080"/>
              <w:right w:val="single" w:sz="4" w:space="0" w:color="808080"/>
            </w:tcBorders>
          </w:tcPr>
          <w:p>
            <w:pPr>
              <w:pStyle w:val="TableParagraph"/>
              <w:spacing w:before="194"/>
              <w:rPr>
                <w:sz w:val="24"/>
              </w:rPr>
            </w:pPr>
          </w:p>
          <w:p>
            <w:pPr>
              <w:pStyle w:val="TableParagraph"/>
              <w:ind w:left="105"/>
              <w:rPr>
                <w:sz w:val="24"/>
              </w:rPr>
            </w:pPr>
            <w:r>
              <w:rPr>
                <w:spacing w:val="-5"/>
                <w:sz w:val="24"/>
              </w:rPr>
              <w:t>42</w:t>
            </w:r>
          </w:p>
        </w:tc>
        <w:tc>
          <w:tcPr>
            <w:tcW w:w="5184" w:type="dxa"/>
            <w:tcBorders>
              <w:top w:val="single" w:sz="4" w:space="0" w:color="808080"/>
              <w:left w:val="single" w:sz="4" w:space="0" w:color="808080"/>
              <w:bottom w:val="single" w:sz="4" w:space="0" w:color="808080"/>
            </w:tcBorders>
          </w:tcPr>
          <w:p>
            <w:pPr>
              <w:pStyle w:val="TableParagraph"/>
              <w:spacing w:line="312" w:lineRule="auto" w:before="111"/>
              <w:ind w:left="105" w:right="98"/>
              <w:jc w:val="both"/>
              <w:rPr>
                <w:sz w:val="24"/>
              </w:rPr>
            </w:pPr>
            <w:r>
              <w:rPr>
                <w:sz w:val="24"/>
              </w:rPr>
              <w:t>Above-average emissions relative to </w:t>
            </w:r>
            <w:r>
              <w:rPr>
                <w:sz w:val="24"/>
              </w:rPr>
              <w:t>sector benchmark; driven by fossil-fuel energy </w:t>
            </w:r>
            <w:r>
              <w:rPr>
                <w:spacing w:val="-2"/>
                <w:sz w:val="24"/>
              </w:rPr>
              <w:t>consumption.</w:t>
            </w:r>
          </w:p>
        </w:tc>
      </w:tr>
      <w:tr>
        <w:trPr>
          <w:trHeight w:val="910" w:hRule="atLeast"/>
        </w:trPr>
        <w:tc>
          <w:tcPr>
            <w:tcW w:w="2304" w:type="dxa"/>
            <w:tcBorders>
              <w:top w:val="single" w:sz="4" w:space="0" w:color="808080"/>
              <w:bottom w:val="single" w:sz="4" w:space="0" w:color="808080"/>
              <w:right w:val="single" w:sz="4" w:space="0" w:color="808080"/>
            </w:tcBorders>
          </w:tcPr>
          <w:p>
            <w:pPr>
              <w:pStyle w:val="TableParagraph"/>
              <w:spacing w:before="14"/>
              <w:rPr>
                <w:sz w:val="24"/>
              </w:rPr>
            </w:pPr>
          </w:p>
          <w:p>
            <w:pPr>
              <w:pStyle w:val="TableParagraph"/>
              <w:ind w:left="100"/>
              <w:rPr>
                <w:sz w:val="24"/>
              </w:rPr>
            </w:pPr>
            <w:r>
              <w:rPr>
                <w:sz w:val="24"/>
              </w:rPr>
              <w:t>Water </w:t>
            </w:r>
            <w:r>
              <w:rPr>
                <w:spacing w:val="-5"/>
                <w:sz w:val="24"/>
              </w:rPr>
              <w:t>Use</w:t>
            </w:r>
          </w:p>
        </w:tc>
        <w:tc>
          <w:tcPr>
            <w:tcW w:w="1728" w:type="dxa"/>
            <w:tcBorders>
              <w:top w:val="single" w:sz="4" w:space="0" w:color="808080"/>
              <w:left w:val="single" w:sz="4" w:space="0" w:color="808080"/>
              <w:bottom w:val="single" w:sz="4" w:space="0" w:color="808080"/>
              <w:right w:val="single" w:sz="4" w:space="0" w:color="808080"/>
            </w:tcBorders>
          </w:tcPr>
          <w:p>
            <w:pPr>
              <w:pStyle w:val="TableParagraph"/>
              <w:spacing w:before="14"/>
              <w:rPr>
                <w:sz w:val="24"/>
              </w:rPr>
            </w:pPr>
          </w:p>
          <w:p>
            <w:pPr>
              <w:pStyle w:val="TableParagraph"/>
              <w:ind w:left="105"/>
              <w:rPr>
                <w:sz w:val="24"/>
              </w:rPr>
            </w:pPr>
            <w:r>
              <w:rPr>
                <w:spacing w:val="-5"/>
                <w:sz w:val="24"/>
              </w:rPr>
              <w:t>61</w:t>
            </w:r>
          </w:p>
        </w:tc>
        <w:tc>
          <w:tcPr>
            <w:tcW w:w="5184" w:type="dxa"/>
            <w:tcBorders>
              <w:top w:val="single" w:sz="4" w:space="0" w:color="808080"/>
              <w:left w:val="single" w:sz="4" w:space="0" w:color="808080"/>
              <w:bottom w:val="single" w:sz="4" w:space="0" w:color="808080"/>
            </w:tcBorders>
          </w:tcPr>
          <w:p>
            <w:pPr>
              <w:pStyle w:val="TableParagraph"/>
              <w:spacing w:line="312" w:lineRule="auto" w:before="111"/>
              <w:ind w:left="105"/>
              <w:rPr>
                <w:sz w:val="24"/>
              </w:rPr>
            </w:pPr>
            <w:r>
              <w:rPr>
                <w:sz w:val="24"/>
              </w:rPr>
              <w:t>Moderate</w:t>
            </w:r>
            <w:r>
              <w:rPr>
                <w:spacing w:val="28"/>
                <w:sz w:val="24"/>
              </w:rPr>
              <w:t> </w:t>
            </w:r>
            <w:r>
              <w:rPr>
                <w:sz w:val="24"/>
              </w:rPr>
              <w:t>performance;</w:t>
            </w:r>
            <w:r>
              <w:rPr>
                <w:spacing w:val="28"/>
                <w:sz w:val="24"/>
              </w:rPr>
              <w:t> </w:t>
            </w:r>
            <w:r>
              <w:rPr>
                <w:sz w:val="24"/>
              </w:rPr>
              <w:t>closed-loop</w:t>
            </w:r>
            <w:r>
              <w:rPr>
                <w:spacing w:val="28"/>
                <w:sz w:val="24"/>
              </w:rPr>
              <w:t> </w:t>
            </w:r>
            <w:r>
              <w:rPr>
                <w:sz w:val="24"/>
              </w:rPr>
              <w:t>cooling</w:t>
            </w:r>
            <w:r>
              <w:rPr>
                <w:spacing w:val="28"/>
                <w:sz w:val="24"/>
              </w:rPr>
              <w:t> </w:t>
            </w:r>
            <w:r>
              <w:rPr>
                <w:sz w:val="24"/>
              </w:rPr>
              <w:t>water system partially offsets consumption.</w:t>
            </w:r>
          </w:p>
        </w:tc>
      </w:tr>
      <w:tr>
        <w:trPr>
          <w:trHeight w:val="905" w:hRule="atLeast"/>
        </w:trPr>
        <w:tc>
          <w:tcPr>
            <w:tcW w:w="2304" w:type="dxa"/>
            <w:tcBorders>
              <w:top w:val="single" w:sz="4" w:space="0" w:color="808080"/>
              <w:right w:val="single" w:sz="4" w:space="0" w:color="808080"/>
            </w:tcBorders>
          </w:tcPr>
          <w:p>
            <w:pPr>
              <w:pStyle w:val="TableParagraph"/>
              <w:spacing w:before="14"/>
              <w:rPr>
                <w:sz w:val="24"/>
              </w:rPr>
            </w:pPr>
          </w:p>
          <w:p>
            <w:pPr>
              <w:pStyle w:val="TableParagraph"/>
              <w:ind w:left="100"/>
              <w:rPr>
                <w:sz w:val="24"/>
              </w:rPr>
            </w:pPr>
            <w:r>
              <w:rPr>
                <w:sz w:val="24"/>
              </w:rPr>
              <w:t>Resource </w:t>
            </w:r>
            <w:r>
              <w:rPr>
                <w:spacing w:val="-2"/>
                <w:sz w:val="24"/>
              </w:rPr>
              <w:t>Depletion</w:t>
            </w:r>
          </w:p>
        </w:tc>
        <w:tc>
          <w:tcPr>
            <w:tcW w:w="1728" w:type="dxa"/>
            <w:tcBorders>
              <w:top w:val="single" w:sz="4" w:space="0" w:color="808080"/>
              <w:left w:val="single" w:sz="4" w:space="0" w:color="808080"/>
              <w:right w:val="single" w:sz="4" w:space="0" w:color="808080"/>
            </w:tcBorders>
          </w:tcPr>
          <w:p>
            <w:pPr>
              <w:pStyle w:val="TableParagraph"/>
              <w:spacing w:before="14"/>
              <w:rPr>
                <w:sz w:val="24"/>
              </w:rPr>
            </w:pPr>
          </w:p>
          <w:p>
            <w:pPr>
              <w:pStyle w:val="TableParagraph"/>
              <w:ind w:left="105"/>
              <w:rPr>
                <w:sz w:val="24"/>
              </w:rPr>
            </w:pPr>
            <w:r>
              <w:rPr>
                <w:spacing w:val="-5"/>
                <w:sz w:val="24"/>
              </w:rPr>
              <w:t>31</w:t>
            </w:r>
          </w:p>
        </w:tc>
        <w:tc>
          <w:tcPr>
            <w:tcW w:w="5184" w:type="dxa"/>
            <w:tcBorders>
              <w:top w:val="single" w:sz="4" w:space="0" w:color="808080"/>
              <w:left w:val="single" w:sz="4" w:space="0" w:color="808080"/>
            </w:tcBorders>
          </w:tcPr>
          <w:p>
            <w:pPr>
              <w:pStyle w:val="TableParagraph"/>
              <w:spacing w:line="312" w:lineRule="auto" w:before="111"/>
              <w:ind w:left="105" w:right="98"/>
              <w:rPr>
                <w:sz w:val="24"/>
              </w:rPr>
            </w:pPr>
            <w:r>
              <w:rPr>
                <w:sz w:val="24"/>
              </w:rPr>
              <w:t>Poor</w:t>
            </w:r>
            <w:r>
              <w:rPr>
                <w:spacing w:val="80"/>
                <w:sz w:val="24"/>
              </w:rPr>
              <w:t> </w:t>
            </w:r>
            <w:r>
              <w:rPr>
                <w:sz w:val="24"/>
              </w:rPr>
              <w:t>performance;</w:t>
            </w:r>
            <w:r>
              <w:rPr>
                <w:spacing w:val="80"/>
                <w:sz w:val="24"/>
              </w:rPr>
              <w:t> </w:t>
            </w:r>
            <w:r>
              <w:rPr>
                <w:sz w:val="24"/>
              </w:rPr>
              <w:t>high</w:t>
            </w:r>
            <w:r>
              <w:rPr>
                <w:spacing w:val="80"/>
                <w:sz w:val="24"/>
              </w:rPr>
              <w:t> </w:t>
            </w:r>
            <w:r>
              <w:rPr>
                <w:sz w:val="24"/>
              </w:rPr>
              <w:t>dependence</w:t>
            </w:r>
            <w:r>
              <w:rPr>
                <w:spacing w:val="80"/>
                <w:sz w:val="24"/>
              </w:rPr>
              <w:t> </w:t>
            </w:r>
            <w:r>
              <w:rPr>
                <w:sz w:val="24"/>
              </w:rPr>
              <w:t>on</w:t>
            </w:r>
            <w:r>
              <w:rPr>
                <w:spacing w:val="80"/>
                <w:sz w:val="24"/>
              </w:rPr>
              <w:t> </w:t>
            </w:r>
            <w:r>
              <w:rPr>
                <w:sz w:val="24"/>
              </w:rPr>
              <w:t>virgin fossil-derived polymers.</w:t>
            </w:r>
          </w:p>
        </w:tc>
      </w:tr>
    </w:tbl>
    <w:p>
      <w:pPr>
        <w:pStyle w:val="TableParagraph"/>
        <w:spacing w:after="0" w:line="312" w:lineRule="auto"/>
        <w:rPr>
          <w:sz w:val="24"/>
        </w:rPr>
        <w:sectPr>
          <w:pgSz w:w="11910" w:h="16840"/>
          <w:pgMar w:header="0" w:footer="626" w:top="1500" w:bottom="820" w:left="1275" w:right="1275"/>
        </w:sectPr>
      </w:pPr>
    </w:p>
    <w:p>
      <w:pPr>
        <w:pStyle w:val="ListParagraph"/>
        <w:numPr>
          <w:ilvl w:val="2"/>
          <w:numId w:val="11"/>
        </w:numPr>
        <w:tabs>
          <w:tab w:pos="825" w:val="left" w:leader="none"/>
        </w:tabs>
        <w:spacing w:line="240" w:lineRule="auto" w:before="78" w:after="0"/>
        <w:ind w:left="825" w:right="0" w:hanging="540"/>
        <w:jc w:val="both"/>
        <w:rPr>
          <w:b/>
          <w:sz w:val="24"/>
        </w:rPr>
      </w:pPr>
      <w:r>
        <w:rPr>
          <w:b/>
          <w:sz w:val="24"/>
        </w:rPr>
        <w:t>Circularity Gap </w:t>
      </w:r>
      <w:r>
        <w:rPr>
          <w:b/>
          <w:spacing w:val="-2"/>
          <w:sz w:val="24"/>
        </w:rPr>
        <w:t>Evaluation</w:t>
      </w:r>
    </w:p>
    <w:p>
      <w:pPr>
        <w:pStyle w:val="BodyText"/>
        <w:spacing w:line="312" w:lineRule="auto" w:before="164"/>
        <w:ind w:left="285" w:right="283"/>
        <w:jc w:val="both"/>
      </w:pPr>
      <w:r>
        <w:rPr/>
        <w:t>The Circularity Gap Evaluator assigned the facility an overall circularity rating of 2.8 </w:t>
      </w:r>
      <w:r>
        <w:rPr/>
        <w:t>out</w:t>
      </w:r>
      <w:r>
        <w:rPr>
          <w:spacing w:val="40"/>
        </w:rPr>
        <w:t> </w:t>
      </w:r>
      <w:r>
        <w:rPr/>
        <w:t>of</w:t>
      </w:r>
      <w:r>
        <w:rPr>
          <w:spacing w:val="-5"/>
        </w:rPr>
        <w:t> </w:t>
      </w:r>
      <w:r>
        <w:rPr/>
        <w:t>10,</w:t>
      </w:r>
      <w:r>
        <w:rPr>
          <w:spacing w:val="-5"/>
        </w:rPr>
        <w:t> </w:t>
      </w:r>
      <w:r>
        <w:rPr/>
        <w:t>indicating</w:t>
      </w:r>
      <w:r>
        <w:rPr>
          <w:spacing w:val="-5"/>
        </w:rPr>
        <w:t> </w:t>
      </w:r>
      <w:r>
        <w:rPr/>
        <w:t>a</w:t>
      </w:r>
      <w:r>
        <w:rPr>
          <w:spacing w:val="-5"/>
        </w:rPr>
        <w:t> </w:t>
      </w:r>
      <w:r>
        <w:rPr/>
        <w:t>predominantly</w:t>
      </w:r>
      <w:r>
        <w:rPr>
          <w:spacing w:val="-5"/>
        </w:rPr>
        <w:t> </w:t>
      </w:r>
      <w:r>
        <w:rPr/>
        <w:t>linear</w:t>
      </w:r>
      <w:r>
        <w:rPr>
          <w:spacing w:val="-5"/>
        </w:rPr>
        <w:t> </w:t>
      </w:r>
      <w:r>
        <w:rPr/>
        <w:t>operational</w:t>
      </w:r>
      <w:r>
        <w:rPr>
          <w:spacing w:val="-5"/>
        </w:rPr>
        <w:t> </w:t>
      </w:r>
      <w:r>
        <w:rPr/>
        <w:t>model.</w:t>
      </w:r>
      <w:r>
        <w:rPr>
          <w:spacing w:val="-5"/>
        </w:rPr>
        <w:t> </w:t>
      </w:r>
      <w:r>
        <w:rPr/>
        <w:t>The</w:t>
      </w:r>
      <w:r>
        <w:rPr>
          <w:spacing w:val="-5"/>
        </w:rPr>
        <w:t> </w:t>
      </w:r>
      <w:r>
        <w:rPr/>
        <w:t>evaluation</w:t>
      </w:r>
      <w:r>
        <w:rPr>
          <w:spacing w:val="-5"/>
        </w:rPr>
        <w:t> </w:t>
      </w:r>
      <w:r>
        <w:rPr/>
        <w:t>identified</w:t>
      </w:r>
      <w:r>
        <w:rPr>
          <w:spacing w:val="-5"/>
        </w:rPr>
        <w:t> </w:t>
      </w:r>
      <w:r>
        <w:rPr/>
        <w:t>strong performance only at the Recover tier — evidenced by the existing energy recovery from purge material combustion — with negligible activity at the Refuse, Rethink, Reduce, Reuse, and Remanufacture tiers. The primary linear pattern identified was the direct purchase</w:t>
      </w:r>
      <w:r>
        <w:rPr>
          <w:spacing w:val="-5"/>
        </w:rPr>
        <w:t> </w:t>
      </w:r>
      <w:r>
        <w:rPr/>
        <w:t>and</w:t>
      </w:r>
      <w:r>
        <w:rPr>
          <w:spacing w:val="-5"/>
        </w:rPr>
        <w:t> </w:t>
      </w:r>
      <w:r>
        <w:rPr/>
        <w:t>single-use</w:t>
      </w:r>
      <w:r>
        <w:rPr>
          <w:spacing w:val="-5"/>
        </w:rPr>
        <w:t> </w:t>
      </w:r>
      <w:r>
        <w:rPr/>
        <w:t>consumption</w:t>
      </w:r>
      <w:r>
        <w:rPr>
          <w:spacing w:val="-5"/>
        </w:rPr>
        <w:t> </w:t>
      </w:r>
      <w:r>
        <w:rPr/>
        <w:t>of</w:t>
      </w:r>
      <w:r>
        <w:rPr>
          <w:spacing w:val="-5"/>
        </w:rPr>
        <w:t> </w:t>
      </w:r>
      <w:r>
        <w:rPr/>
        <w:t>virgin</w:t>
      </w:r>
      <w:r>
        <w:rPr>
          <w:spacing w:val="-5"/>
        </w:rPr>
        <w:t> </w:t>
      </w:r>
      <w:r>
        <w:rPr/>
        <w:t>polymer</w:t>
      </w:r>
      <w:r>
        <w:rPr>
          <w:spacing w:val="-5"/>
        </w:rPr>
        <w:t> </w:t>
      </w:r>
      <w:r>
        <w:rPr/>
        <w:t>inputs</w:t>
      </w:r>
      <w:r>
        <w:rPr>
          <w:spacing w:val="-5"/>
        </w:rPr>
        <w:t> </w:t>
      </w:r>
      <w:r>
        <w:rPr/>
        <w:t>without</w:t>
      </w:r>
      <w:r>
        <w:rPr>
          <w:spacing w:val="-5"/>
        </w:rPr>
        <w:t> </w:t>
      </w:r>
      <w:r>
        <w:rPr/>
        <w:t>any</w:t>
      </w:r>
      <w:r>
        <w:rPr>
          <w:spacing w:val="-5"/>
        </w:rPr>
        <w:t> </w:t>
      </w:r>
      <w:r>
        <w:rPr/>
        <w:t>incorporation</w:t>
      </w:r>
      <w:r>
        <w:rPr>
          <w:spacing w:val="-5"/>
        </w:rPr>
        <w:t> </w:t>
      </w:r>
      <w:r>
        <w:rPr/>
        <w:t>of post-consumer recycled content.</w:t>
      </w:r>
    </w:p>
    <w:p>
      <w:pPr>
        <w:pStyle w:val="ListParagraph"/>
        <w:numPr>
          <w:ilvl w:val="2"/>
          <w:numId w:val="11"/>
        </w:numPr>
        <w:tabs>
          <w:tab w:pos="825" w:val="left" w:leader="none"/>
        </w:tabs>
        <w:spacing w:line="240" w:lineRule="auto" w:before="248" w:after="0"/>
        <w:ind w:left="825" w:right="0" w:hanging="540"/>
        <w:jc w:val="both"/>
        <w:rPr>
          <w:b/>
          <w:sz w:val="24"/>
        </w:rPr>
      </w:pPr>
      <w:r>
        <w:rPr>
          <w:b/>
          <w:sz w:val="24"/>
        </w:rPr>
        <w:t>Industrial Symbiosis </w:t>
      </w:r>
      <w:r>
        <w:rPr>
          <w:b/>
          <w:spacing w:val="-2"/>
          <w:sz w:val="24"/>
        </w:rPr>
        <w:t>Opportunities</w:t>
      </w:r>
    </w:p>
    <w:p>
      <w:pPr>
        <w:pStyle w:val="BodyText"/>
        <w:spacing w:line="312" w:lineRule="auto" w:before="165"/>
        <w:ind w:left="285" w:right="283"/>
        <w:jc w:val="both"/>
      </w:pPr>
      <w:r>
        <w:rPr/>
        <w:t>The Industrial Ecology Specialist identified three high-feasibility symbiosis </w:t>
      </w:r>
      <w:r>
        <w:rPr/>
        <w:t>opportunities. First, the off-spec compound rejects were matched with a regional PVC pipe manufacturer seeking secondary polymer feedstock, with estimated volume compatibility and logistical feasibility confirmed through the agent's database query. Second, residual heat from the compounding</w:t>
      </w:r>
      <w:r>
        <w:rPr>
          <w:spacing w:val="-2"/>
        </w:rPr>
        <w:t> </w:t>
      </w:r>
      <w:r>
        <w:rPr/>
        <w:t>extruders</w:t>
      </w:r>
      <w:r>
        <w:rPr>
          <w:spacing w:val="-2"/>
        </w:rPr>
        <w:t> </w:t>
      </w:r>
      <w:r>
        <w:rPr/>
        <w:t>was</w:t>
      </w:r>
      <w:r>
        <w:rPr>
          <w:spacing w:val="-2"/>
        </w:rPr>
        <w:t> </w:t>
      </w:r>
      <w:r>
        <w:rPr/>
        <w:t>identified</w:t>
      </w:r>
      <w:r>
        <w:rPr>
          <w:spacing w:val="-2"/>
        </w:rPr>
        <w:t> </w:t>
      </w:r>
      <w:r>
        <w:rPr/>
        <w:t>as</w:t>
      </w:r>
      <w:r>
        <w:rPr>
          <w:spacing w:val="-2"/>
        </w:rPr>
        <w:t> </w:t>
      </w:r>
      <w:r>
        <w:rPr/>
        <w:t>a</w:t>
      </w:r>
      <w:r>
        <w:rPr>
          <w:spacing w:val="-2"/>
        </w:rPr>
        <w:t> </w:t>
      </w:r>
      <w:r>
        <w:rPr/>
        <w:t>potential</w:t>
      </w:r>
      <w:r>
        <w:rPr>
          <w:spacing w:val="-2"/>
        </w:rPr>
        <w:t> </w:t>
      </w:r>
      <w:r>
        <w:rPr/>
        <w:t>source</w:t>
      </w:r>
      <w:r>
        <w:rPr>
          <w:spacing w:val="-2"/>
        </w:rPr>
        <w:t> </w:t>
      </w:r>
      <w:r>
        <w:rPr/>
        <w:t>for</w:t>
      </w:r>
      <w:r>
        <w:rPr>
          <w:spacing w:val="-2"/>
        </w:rPr>
        <w:t> </w:t>
      </w:r>
      <w:r>
        <w:rPr/>
        <w:t>an</w:t>
      </w:r>
      <w:r>
        <w:rPr>
          <w:spacing w:val="-2"/>
        </w:rPr>
        <w:t> </w:t>
      </w:r>
      <w:r>
        <w:rPr/>
        <w:t>adjacent</w:t>
      </w:r>
      <w:r>
        <w:rPr>
          <w:spacing w:val="-2"/>
        </w:rPr>
        <w:t> </w:t>
      </w:r>
      <w:r>
        <w:rPr/>
        <w:t>food</w:t>
      </w:r>
      <w:r>
        <w:rPr>
          <w:spacing w:val="-2"/>
        </w:rPr>
        <w:t> </w:t>
      </w:r>
      <w:r>
        <w:rPr/>
        <w:t>processing facility with a documented low-temperature heating demand. Third, spent packaging material was matched with a paper recycling facility operating within a 15-kilometre</w:t>
      </w:r>
      <w:r>
        <w:rPr>
          <w:spacing w:val="40"/>
        </w:rPr>
        <w:t> </w:t>
      </w:r>
      <w:r>
        <w:rPr>
          <w:spacing w:val="-2"/>
        </w:rPr>
        <w:t>radius.</w:t>
      </w:r>
    </w:p>
    <w:p>
      <w:pPr>
        <w:pStyle w:val="ListParagraph"/>
        <w:numPr>
          <w:ilvl w:val="2"/>
          <w:numId w:val="11"/>
        </w:numPr>
        <w:tabs>
          <w:tab w:pos="825" w:val="left" w:leader="none"/>
        </w:tabs>
        <w:spacing w:line="240" w:lineRule="auto" w:before="249" w:after="0"/>
        <w:ind w:left="825" w:right="0" w:hanging="540"/>
        <w:jc w:val="both"/>
        <w:rPr>
          <w:b/>
          <w:sz w:val="24"/>
        </w:rPr>
      </w:pPr>
      <w:r>
        <w:rPr>
          <w:b/>
          <w:sz w:val="24"/>
        </w:rPr>
        <w:t>ISO 14000 Compliance </w:t>
      </w:r>
      <w:r>
        <w:rPr>
          <w:b/>
          <w:spacing w:val="-4"/>
          <w:sz w:val="24"/>
        </w:rPr>
        <w:t>Gaps</w:t>
      </w:r>
    </w:p>
    <w:p>
      <w:pPr>
        <w:pStyle w:val="BodyText"/>
        <w:spacing w:before="164"/>
        <w:ind w:left="285"/>
        <w:jc w:val="both"/>
      </w:pPr>
      <w:r>
        <w:rPr/>
        <w:t>The</w:t>
      </w:r>
      <w:r>
        <w:rPr>
          <w:spacing w:val="20"/>
        </w:rPr>
        <w:t> </w:t>
      </w:r>
      <w:r>
        <w:rPr/>
        <w:t>ISO</w:t>
      </w:r>
      <w:r>
        <w:rPr>
          <w:spacing w:val="20"/>
        </w:rPr>
        <w:t> </w:t>
      </w:r>
      <w:r>
        <w:rPr/>
        <w:t>14000</w:t>
      </w:r>
      <w:r>
        <w:rPr>
          <w:spacing w:val="20"/>
        </w:rPr>
        <w:t> </w:t>
      </w:r>
      <w:r>
        <w:rPr/>
        <w:t>Compliance</w:t>
      </w:r>
      <w:r>
        <w:rPr>
          <w:spacing w:val="20"/>
        </w:rPr>
        <w:t> </w:t>
      </w:r>
      <w:r>
        <w:rPr/>
        <w:t>Officer</w:t>
      </w:r>
      <w:r>
        <w:rPr>
          <w:spacing w:val="20"/>
        </w:rPr>
        <w:t> </w:t>
      </w:r>
      <w:r>
        <w:rPr/>
        <w:t>identified</w:t>
      </w:r>
      <w:r>
        <w:rPr>
          <w:spacing w:val="20"/>
        </w:rPr>
        <w:t> </w:t>
      </w:r>
      <w:r>
        <w:rPr/>
        <w:t>significant</w:t>
      </w:r>
      <w:r>
        <w:rPr>
          <w:spacing w:val="20"/>
        </w:rPr>
        <w:t> </w:t>
      </w:r>
      <w:r>
        <w:rPr/>
        <w:t>gaps</w:t>
      </w:r>
      <w:r>
        <w:rPr>
          <w:spacing w:val="20"/>
        </w:rPr>
        <w:t> </w:t>
      </w:r>
      <w:r>
        <w:rPr/>
        <w:t>against</w:t>
      </w:r>
      <w:r>
        <w:rPr>
          <w:spacing w:val="20"/>
        </w:rPr>
        <w:t> </w:t>
      </w:r>
      <w:r>
        <w:rPr/>
        <w:t>ISO</w:t>
      </w:r>
      <w:r>
        <w:rPr>
          <w:spacing w:val="20"/>
        </w:rPr>
        <w:t> </w:t>
      </w:r>
      <w:r>
        <w:rPr/>
        <w:t>14001</w:t>
      </w:r>
      <w:r>
        <w:rPr>
          <w:spacing w:val="20"/>
        </w:rPr>
        <w:t> </w:t>
      </w:r>
      <w:r>
        <w:rPr>
          <w:spacing w:val="-2"/>
        </w:rPr>
        <w:t>Clause</w:t>
      </w:r>
    </w:p>
    <w:p>
      <w:pPr>
        <w:pStyle w:val="BodyText"/>
        <w:spacing w:line="312" w:lineRule="auto" w:before="84"/>
        <w:ind w:left="285" w:right="283"/>
        <w:jc w:val="both"/>
      </w:pPr>
      <w:r>
        <w:rPr/>
        <w:t>6.1 (Environmental Aspects and Impacts Register), which the facility had not </w:t>
      </w:r>
      <w:r>
        <w:rPr/>
        <w:t>formally maintained, and against ISO 14044 Clause 4.3 (Inventory Analysis Documentation), where data collection procedures were found to be insufficiently documented. Minor gaps were noted against ISO 14001 Clause 9.1 (Performance Evaluation), where monitoring frequency for cooling water discharge parameters was below the standard's recommended </w:t>
      </w:r>
      <w:r>
        <w:rPr>
          <w:spacing w:val="-2"/>
        </w:rPr>
        <w:t>intervals.</w:t>
      </w:r>
    </w:p>
    <w:p>
      <w:pPr>
        <w:pStyle w:val="ListParagraph"/>
        <w:numPr>
          <w:ilvl w:val="2"/>
          <w:numId w:val="11"/>
        </w:numPr>
        <w:tabs>
          <w:tab w:pos="825" w:val="left" w:leader="none"/>
        </w:tabs>
        <w:spacing w:line="240" w:lineRule="auto" w:before="248" w:after="0"/>
        <w:ind w:left="825" w:right="0" w:hanging="540"/>
        <w:jc w:val="both"/>
        <w:rPr>
          <w:b/>
          <w:sz w:val="24"/>
        </w:rPr>
      </w:pPr>
      <w:r>
        <w:rPr>
          <w:b/>
          <w:sz w:val="24"/>
        </w:rPr>
        <w:t>SDG </w:t>
      </w:r>
      <w:r>
        <w:rPr>
          <w:b/>
          <w:spacing w:val="-2"/>
          <w:sz w:val="24"/>
        </w:rPr>
        <w:t>Alignment</w:t>
      </w:r>
    </w:p>
    <w:p>
      <w:pPr>
        <w:pStyle w:val="BodyText"/>
        <w:spacing w:line="312" w:lineRule="auto" w:before="164"/>
        <w:ind w:left="285" w:right="283"/>
        <w:jc w:val="both"/>
      </w:pPr>
      <w:r>
        <w:rPr/>
        <w:t>The SDG Policy Evaluator assigned alignment scores of 38% for SDG 11, 29% for SDG 12, and 33% for SDG 13. The low SDG 12 score reflected the absence of a </w:t>
      </w:r>
      <w:r>
        <w:rPr/>
        <w:t>product stewardship programme and the lack of recycled content in inputs. The estimated carbon credit value of the identified improvement opportunities — primarily the heat recovery symbiosis and the shift to partially recycled polymer feedstock — was calculated at approximately USD 47,000 per annum under a standard voluntary carbon market </w:t>
      </w:r>
      <w:r>
        <w:rPr>
          <w:spacing w:val="-2"/>
        </w:rPr>
        <w:t>methodology.</w:t>
      </w:r>
    </w:p>
    <w:p>
      <w:pPr>
        <w:pStyle w:val="BodyText"/>
        <w:spacing w:before="12"/>
      </w:pPr>
    </w:p>
    <w:p>
      <w:pPr>
        <w:pStyle w:val="Heading2"/>
        <w:numPr>
          <w:ilvl w:val="1"/>
          <w:numId w:val="11"/>
        </w:numPr>
        <w:tabs>
          <w:tab w:pos="645" w:val="left" w:leader="none"/>
        </w:tabs>
        <w:spacing w:line="240" w:lineRule="auto" w:before="0" w:after="0"/>
        <w:ind w:left="645" w:right="0" w:hanging="360"/>
        <w:jc w:val="both"/>
      </w:pPr>
      <w:bookmarkStart w:name="_TOC_250004" w:id="25"/>
      <w:r>
        <w:rPr/>
        <w:t>Synthesis </w:t>
      </w:r>
      <w:bookmarkEnd w:id="25"/>
      <w:r>
        <w:rPr>
          <w:spacing w:val="-2"/>
        </w:rPr>
        <w:t>Report</w:t>
      </w:r>
    </w:p>
    <w:p>
      <w:pPr>
        <w:pStyle w:val="Heading2"/>
        <w:spacing w:after="0" w:line="240" w:lineRule="auto"/>
        <w:jc w:val="both"/>
        <w:sectPr>
          <w:pgSz w:w="11910" w:h="16840"/>
          <w:pgMar w:header="0" w:footer="626" w:top="1480" w:bottom="820" w:left="1275" w:right="1275"/>
        </w:sectPr>
      </w:pPr>
    </w:p>
    <w:p>
      <w:pPr>
        <w:pStyle w:val="BodyText"/>
        <w:spacing w:line="312" w:lineRule="auto" w:before="78"/>
        <w:ind w:left="285" w:right="283"/>
        <w:jc w:val="both"/>
      </w:pPr>
      <w:r>
        <w:rPr/>
        <w:t>The</w:t>
      </w:r>
      <w:r>
        <w:rPr>
          <w:spacing w:val="-4"/>
        </w:rPr>
        <w:t> </w:t>
      </w:r>
      <w:r>
        <w:rPr/>
        <w:t>synthesis</w:t>
      </w:r>
      <w:r>
        <w:rPr>
          <w:spacing w:val="-4"/>
        </w:rPr>
        <w:t> </w:t>
      </w:r>
      <w:r>
        <w:rPr/>
        <w:t>agent</w:t>
      </w:r>
      <w:r>
        <w:rPr>
          <w:spacing w:val="-4"/>
        </w:rPr>
        <w:t> </w:t>
      </w:r>
      <w:r>
        <w:rPr/>
        <w:t>consolidated</w:t>
      </w:r>
      <w:r>
        <w:rPr>
          <w:spacing w:val="-4"/>
        </w:rPr>
        <w:t> </w:t>
      </w:r>
      <w:r>
        <w:rPr/>
        <w:t>the</w:t>
      </w:r>
      <w:r>
        <w:rPr>
          <w:spacing w:val="-4"/>
        </w:rPr>
        <w:t> </w:t>
      </w:r>
      <w:r>
        <w:rPr/>
        <w:t>six</w:t>
      </w:r>
      <w:r>
        <w:rPr>
          <w:spacing w:val="-4"/>
        </w:rPr>
        <w:t> </w:t>
      </w:r>
      <w:r>
        <w:rPr/>
        <w:t>agent</w:t>
      </w:r>
      <w:r>
        <w:rPr>
          <w:spacing w:val="-4"/>
        </w:rPr>
        <w:t> </w:t>
      </w:r>
      <w:r>
        <w:rPr/>
        <w:t>outputs</w:t>
      </w:r>
      <w:r>
        <w:rPr>
          <w:spacing w:val="-4"/>
        </w:rPr>
        <w:t> </w:t>
      </w:r>
      <w:r>
        <w:rPr/>
        <w:t>and</w:t>
      </w:r>
      <w:r>
        <w:rPr>
          <w:spacing w:val="-4"/>
        </w:rPr>
        <w:t> </w:t>
      </w:r>
      <w:r>
        <w:rPr/>
        <w:t>identified</w:t>
      </w:r>
      <w:r>
        <w:rPr>
          <w:spacing w:val="-4"/>
        </w:rPr>
        <w:t> </w:t>
      </w:r>
      <w:r>
        <w:rPr/>
        <w:t>two</w:t>
      </w:r>
      <w:r>
        <w:rPr>
          <w:spacing w:val="-4"/>
        </w:rPr>
        <w:t> </w:t>
      </w:r>
      <w:r>
        <w:rPr/>
        <w:t>key</w:t>
      </w:r>
      <w:r>
        <w:rPr>
          <w:spacing w:val="-4"/>
        </w:rPr>
        <w:t> </w:t>
      </w:r>
      <w:r>
        <w:rPr/>
        <w:t>conflicts.</w:t>
      </w:r>
      <w:r>
        <w:rPr>
          <w:spacing w:val="-4"/>
        </w:rPr>
        <w:t> </w:t>
      </w:r>
      <w:r>
        <w:rPr/>
        <w:t>The Material Flow Analyst's characterisation of the cooling water system as </w:t>
      </w:r>
      <w:r>
        <w:rPr/>
        <w:t>substantially closed-loop was in partial conflict with the ISO Compliance Officer's finding that monitoring of discharge parameters was inadequate, suggesting that the closed-loop claim could not be independently verified. The synthesis agent flagged this as a data quality risk and recommended verification through third-party monitoring before the claim is used in external reporting.</w:t>
      </w:r>
    </w:p>
    <w:p>
      <w:pPr>
        <w:pStyle w:val="BodyText"/>
        <w:spacing w:line="312" w:lineRule="auto" w:before="248"/>
        <w:ind w:left="285" w:right="283"/>
        <w:jc w:val="both"/>
      </w:pPr>
      <w:r>
        <w:rPr/>
        <w:t>The top three prioritised recommendations from the synthesis report were: (1) introduce </w:t>
      </w:r>
      <w:r>
        <w:rPr/>
        <w:t>a minimum 20% post-consumer recycled polymer content target within 18 months, which would simultaneously improve the Resource Depletion LCA score, circularity rating, and SDG</w:t>
      </w:r>
      <w:r>
        <w:rPr>
          <w:spacing w:val="-3"/>
        </w:rPr>
        <w:t> </w:t>
      </w:r>
      <w:r>
        <w:rPr/>
        <w:t>12</w:t>
      </w:r>
      <w:r>
        <w:rPr>
          <w:spacing w:val="-3"/>
        </w:rPr>
        <w:t> </w:t>
      </w:r>
      <w:r>
        <w:rPr/>
        <w:t>alignment;</w:t>
      </w:r>
      <w:r>
        <w:rPr>
          <w:spacing w:val="-3"/>
        </w:rPr>
        <w:t> </w:t>
      </w:r>
      <w:r>
        <w:rPr/>
        <w:t>(2)</w:t>
      </w:r>
      <w:r>
        <w:rPr>
          <w:spacing w:val="-3"/>
        </w:rPr>
        <w:t> </w:t>
      </w:r>
      <w:r>
        <w:rPr/>
        <w:t>formalise</w:t>
      </w:r>
      <w:r>
        <w:rPr>
          <w:spacing w:val="-3"/>
        </w:rPr>
        <w:t> </w:t>
      </w:r>
      <w:r>
        <w:rPr/>
        <w:t>the</w:t>
      </w:r>
      <w:r>
        <w:rPr>
          <w:spacing w:val="-3"/>
        </w:rPr>
        <w:t> </w:t>
      </w:r>
      <w:r>
        <w:rPr/>
        <w:t>industrial</w:t>
      </w:r>
      <w:r>
        <w:rPr>
          <w:spacing w:val="-3"/>
        </w:rPr>
        <w:t> </w:t>
      </w:r>
      <w:r>
        <w:rPr/>
        <w:t>symbiosis</w:t>
      </w:r>
      <w:r>
        <w:rPr>
          <w:spacing w:val="-3"/>
        </w:rPr>
        <w:t> </w:t>
      </w:r>
      <w:r>
        <w:rPr/>
        <w:t>agreement</w:t>
      </w:r>
      <w:r>
        <w:rPr>
          <w:spacing w:val="-3"/>
        </w:rPr>
        <w:t> </w:t>
      </w:r>
      <w:r>
        <w:rPr/>
        <w:t>with</w:t>
      </w:r>
      <w:r>
        <w:rPr>
          <w:spacing w:val="-3"/>
        </w:rPr>
        <w:t> </w:t>
      </w:r>
      <w:r>
        <w:rPr/>
        <w:t>the</w:t>
      </w:r>
      <w:r>
        <w:rPr>
          <w:spacing w:val="-3"/>
        </w:rPr>
        <w:t> </w:t>
      </w:r>
      <w:r>
        <w:rPr/>
        <w:t>regional</w:t>
      </w:r>
      <w:r>
        <w:rPr>
          <w:spacing w:val="-3"/>
        </w:rPr>
        <w:t> </w:t>
      </w:r>
      <w:r>
        <w:rPr/>
        <w:t>PVC manufacturer to divert off-spec rejects from landfill; and (3) establish a formal Environmental Aspects and Impacts Register to close the most critical ISO 14001 compliance gap.</w:t>
      </w:r>
    </w:p>
    <w:p>
      <w:pPr>
        <w:pStyle w:val="BodyText"/>
        <w:spacing w:after="0" w:line="312" w:lineRule="auto"/>
        <w:jc w:val="both"/>
        <w:sectPr>
          <w:pgSz w:w="11910" w:h="16840"/>
          <w:pgMar w:header="0" w:footer="626" w:top="1480" w:bottom="820" w:left="1275" w:right="1275"/>
        </w:sectPr>
      </w:pPr>
    </w:p>
    <w:p>
      <w:pPr>
        <w:pStyle w:val="Heading1"/>
        <w:spacing w:line="566" w:lineRule="auto"/>
        <w:ind w:left="2286" w:right="2014" w:firstLine="1602"/>
        <w:jc w:val="left"/>
      </w:pPr>
      <w:bookmarkStart w:name="_TOC_250003" w:id="26"/>
      <w:r>
        <w:rPr/>
        <w:t>CHAPTER 6 CONCLUSION</w:t>
      </w:r>
      <w:r>
        <w:rPr>
          <w:spacing w:val="-11"/>
        </w:rPr>
        <w:t> </w:t>
      </w:r>
      <w:r>
        <w:rPr/>
        <w:t>AND</w:t>
      </w:r>
      <w:r>
        <w:rPr>
          <w:spacing w:val="-11"/>
        </w:rPr>
        <w:t> </w:t>
      </w:r>
      <w:r>
        <w:rPr/>
        <w:t>FUTURE</w:t>
      </w:r>
      <w:r>
        <w:rPr>
          <w:spacing w:val="-11"/>
        </w:rPr>
        <w:t> </w:t>
      </w:r>
      <w:bookmarkEnd w:id="26"/>
      <w:r>
        <w:rPr/>
        <w:t>WORK</w:t>
      </w:r>
    </w:p>
    <w:p>
      <w:pPr>
        <w:spacing w:line="20" w:lineRule="exact"/>
        <w:ind w:left="285" w:right="0" w:firstLine="0"/>
        <w:rPr>
          <w:sz w:val="2"/>
        </w:rPr>
      </w:pPr>
      <w:r>
        <w:rPr>
          <w:sz w:val="2"/>
        </w:rPr>
        <mc:AlternateContent>
          <mc:Choice Requires="wps">
            <w:drawing>
              <wp:inline distT="0" distB="0" distL="0" distR="0">
                <wp:extent cx="5579110" cy="6350"/>
                <wp:effectExtent l="9525" t="0" r="2539" b="3175"/>
                <wp:docPr id="18" name="Group 18"/>
                <wp:cNvGraphicFramePr>
                  <a:graphicFrameLocks/>
                </wp:cNvGraphicFramePr>
                <a:graphic>
                  <a:graphicData uri="http://schemas.microsoft.com/office/word/2010/wordprocessingGroup">
                    <wpg:wgp>
                      <wpg:cNvPr id="18" name="Group 18"/>
                      <wpg:cNvGrpSpPr/>
                      <wpg:grpSpPr>
                        <a:xfrm>
                          <a:off x="0" y="0"/>
                          <a:ext cx="5579110" cy="6350"/>
                          <a:chExt cx="5579110" cy="6350"/>
                        </a:xfrm>
                      </wpg:grpSpPr>
                      <wps:wsp>
                        <wps:cNvPr id="19" name="Graphic 19"/>
                        <wps:cNvSpPr/>
                        <wps:spPr>
                          <a:xfrm>
                            <a:off x="0" y="3175"/>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3pt;height:.5pt;mso-position-horizontal-relative:char;mso-position-vertical-relative:line" id="docshapegroup13" coordorigin="0,0" coordsize="8786,10">
                <v:line style="position:absolute" from="0,5" to="8786,5" stroked="true" strokeweight=".5pt" strokecolor="#000000">
                  <v:stroke dashstyle="solid"/>
                </v:line>
              </v:group>
            </w:pict>
          </mc:Fallback>
        </mc:AlternateContent>
      </w:r>
      <w:r>
        <w:rPr>
          <w:sz w:val="2"/>
        </w:rPr>
      </w:r>
    </w:p>
    <w:p>
      <w:pPr>
        <w:pStyle w:val="BodyText"/>
        <w:spacing w:before="228"/>
        <w:rPr>
          <w:b/>
        </w:rPr>
      </w:pPr>
    </w:p>
    <w:p>
      <w:pPr>
        <w:pStyle w:val="Heading2"/>
        <w:numPr>
          <w:ilvl w:val="1"/>
          <w:numId w:val="12"/>
        </w:numPr>
        <w:tabs>
          <w:tab w:pos="645" w:val="left" w:leader="none"/>
        </w:tabs>
        <w:spacing w:line="240" w:lineRule="auto" w:before="0" w:after="0"/>
        <w:ind w:left="645" w:right="0" w:hanging="360"/>
        <w:jc w:val="left"/>
      </w:pPr>
      <w:bookmarkStart w:name="_TOC_250002" w:id="27"/>
      <w:bookmarkEnd w:id="27"/>
      <w:r>
        <w:rPr>
          <w:spacing w:val="-2"/>
        </w:rPr>
        <w:t>Conclusion</w:t>
      </w:r>
    </w:p>
    <w:p>
      <w:pPr>
        <w:pStyle w:val="BodyText"/>
        <w:spacing w:line="312" w:lineRule="auto" w:before="204"/>
        <w:ind w:left="285" w:right="284"/>
        <w:jc w:val="both"/>
      </w:pPr>
      <w:r>
        <w:rPr/>
        <w:t>MACEA demonstrates the feasibility and practical value of a multi-agent </w:t>
      </w:r>
      <w:r>
        <w:rPr/>
        <w:t>artificial intelligence</w:t>
      </w:r>
      <w:r>
        <w:rPr>
          <w:spacing w:val="-6"/>
        </w:rPr>
        <w:t> </w:t>
      </w:r>
      <w:r>
        <w:rPr/>
        <w:t>architecture</w:t>
      </w:r>
      <w:r>
        <w:rPr>
          <w:spacing w:val="-6"/>
        </w:rPr>
        <w:t> </w:t>
      </w:r>
      <w:r>
        <w:rPr/>
        <w:t>for</w:t>
      </w:r>
      <w:r>
        <w:rPr>
          <w:spacing w:val="-6"/>
        </w:rPr>
        <w:t> </w:t>
      </w:r>
      <w:r>
        <w:rPr/>
        <w:t>comprehensive</w:t>
      </w:r>
      <w:r>
        <w:rPr>
          <w:spacing w:val="-6"/>
        </w:rPr>
        <w:t> </w:t>
      </w:r>
      <w:r>
        <w:rPr/>
        <w:t>circular</w:t>
      </w:r>
      <w:r>
        <w:rPr>
          <w:spacing w:val="-6"/>
        </w:rPr>
        <w:t> </w:t>
      </w:r>
      <w:r>
        <w:rPr/>
        <w:t>economy</w:t>
      </w:r>
      <w:r>
        <w:rPr>
          <w:spacing w:val="-6"/>
        </w:rPr>
        <w:t> </w:t>
      </w:r>
      <w:r>
        <w:rPr/>
        <w:t>auditing.</w:t>
      </w:r>
      <w:r>
        <w:rPr>
          <w:spacing w:val="-6"/>
        </w:rPr>
        <w:t> </w:t>
      </w:r>
      <w:r>
        <w:rPr/>
        <w:t>By</w:t>
      </w:r>
      <w:r>
        <w:rPr>
          <w:spacing w:val="-6"/>
        </w:rPr>
        <w:t> </w:t>
      </w:r>
      <w:r>
        <w:rPr/>
        <w:t>orchestrating</w:t>
      </w:r>
      <w:r>
        <w:rPr>
          <w:spacing w:val="-6"/>
        </w:rPr>
        <w:t> </w:t>
      </w:r>
      <w:r>
        <w:rPr/>
        <w:t>six domain-specialised agents in parallel, the system delivers in seconds an audit that would traditionally require days of expert effort across environmental consulting, regulatory affairs, and sustainability strategy disciplines. The sample audit execution confirmed that the agents produce coherent, domain-accurate findings and that the synthesis layer successfully identifies and resolves inter-agent conflicts to produce a prioritised action</w:t>
      </w:r>
      <w:r>
        <w:rPr>
          <w:spacing w:val="40"/>
        </w:rPr>
        <w:t> </w:t>
      </w:r>
      <w:r>
        <w:rPr>
          <w:spacing w:val="-2"/>
        </w:rPr>
        <w:t>plan.</w:t>
      </w:r>
    </w:p>
    <w:p>
      <w:pPr>
        <w:pStyle w:val="BodyText"/>
        <w:spacing w:line="312" w:lineRule="auto" w:before="250"/>
        <w:ind w:left="285" w:right="283"/>
        <w:jc w:val="both"/>
      </w:pPr>
      <w:r>
        <w:rPr/>
        <w:t>The</w:t>
      </w:r>
      <w:r>
        <w:rPr>
          <w:spacing w:val="80"/>
        </w:rPr>
        <w:t> </w:t>
      </w:r>
      <w:r>
        <w:rPr/>
        <w:t>full-stack</w:t>
      </w:r>
      <w:r>
        <w:rPr>
          <w:spacing w:val="80"/>
        </w:rPr>
        <w:t> </w:t>
      </w:r>
      <w:r>
        <w:rPr/>
        <w:t>web</w:t>
      </w:r>
      <w:r>
        <w:rPr>
          <w:spacing w:val="80"/>
        </w:rPr>
        <w:t> </w:t>
      </w:r>
      <w:r>
        <w:rPr/>
        <w:t>application</w:t>
      </w:r>
      <w:r>
        <w:rPr>
          <w:spacing w:val="80"/>
        </w:rPr>
        <w:t> </w:t>
      </w:r>
      <w:r>
        <w:rPr/>
        <w:t>architecture</w:t>
      </w:r>
      <w:r>
        <w:rPr>
          <w:spacing w:val="80"/>
        </w:rPr>
        <w:t> </w:t>
      </w:r>
      <w:r>
        <w:rPr/>
        <w:t>ensures</w:t>
      </w:r>
      <w:r>
        <w:rPr>
          <w:spacing w:val="80"/>
        </w:rPr>
        <w:t> </w:t>
      </w:r>
      <w:r>
        <w:rPr/>
        <w:t>that</w:t>
      </w:r>
      <w:r>
        <w:rPr>
          <w:spacing w:val="80"/>
        </w:rPr>
        <w:t> </w:t>
      </w:r>
      <w:r>
        <w:rPr/>
        <w:t>MACEA</w:t>
      </w:r>
      <w:r>
        <w:rPr>
          <w:spacing w:val="80"/>
        </w:rPr>
        <w:t> </w:t>
      </w:r>
      <w:r>
        <w:rPr/>
        <w:t>is</w:t>
      </w:r>
      <w:r>
        <w:rPr>
          <w:spacing w:val="80"/>
        </w:rPr>
        <w:t> </w:t>
      </w:r>
      <w:r>
        <w:rPr/>
        <w:t>accessible</w:t>
      </w:r>
      <w:r>
        <w:rPr>
          <w:spacing w:val="80"/>
        </w:rPr>
        <w:t> </w:t>
      </w:r>
      <w:r>
        <w:rPr/>
        <w:t>to non-specialist users through an intuitive React dashboard, while the FastAPI backend provides a robust and extensible API surface for integration into enterprise workflows. The dynamic key reloading feature enhances operational resilience, and the modular agent design supports incremental improvement and domain expansion without requiring</w:t>
      </w:r>
      <w:r>
        <w:rPr>
          <w:spacing w:val="80"/>
        </w:rPr>
        <w:t> </w:t>
      </w:r>
      <w:r>
        <w:rPr/>
        <w:t>system-wide refactoring.</w:t>
      </w:r>
    </w:p>
    <w:p>
      <w:pPr>
        <w:pStyle w:val="BodyText"/>
        <w:spacing w:line="312" w:lineRule="auto" w:before="247"/>
        <w:ind w:left="285" w:right="284"/>
        <w:jc w:val="both"/>
      </w:pPr>
      <w:r>
        <w:rPr/>
        <w:t>The project contributes to the emerging field of AI-assisted sustainability management </w:t>
      </w:r>
      <w:r>
        <w:rPr/>
        <w:t>by providing</w:t>
      </w:r>
      <w:r>
        <w:rPr>
          <w:spacing w:val="40"/>
        </w:rPr>
        <w:t> </w:t>
      </w:r>
      <w:r>
        <w:rPr/>
        <w:t>an</w:t>
      </w:r>
      <w:r>
        <w:rPr>
          <w:spacing w:val="40"/>
        </w:rPr>
        <w:t> </w:t>
      </w:r>
      <w:r>
        <w:rPr/>
        <w:t>open,</w:t>
      </w:r>
      <w:r>
        <w:rPr>
          <w:spacing w:val="40"/>
        </w:rPr>
        <w:t> </w:t>
      </w:r>
      <w:r>
        <w:rPr/>
        <w:t>extensible,</w:t>
      </w:r>
      <w:r>
        <w:rPr>
          <w:spacing w:val="40"/>
        </w:rPr>
        <w:t> </w:t>
      </w:r>
      <w:r>
        <w:rPr/>
        <w:t>and</w:t>
      </w:r>
      <w:r>
        <w:rPr>
          <w:spacing w:val="40"/>
        </w:rPr>
        <w:t> </w:t>
      </w:r>
      <w:r>
        <w:rPr/>
        <w:t>practically</w:t>
      </w:r>
      <w:r>
        <w:rPr>
          <w:spacing w:val="40"/>
        </w:rPr>
        <w:t> </w:t>
      </w:r>
      <w:r>
        <w:rPr/>
        <w:t>validated</w:t>
      </w:r>
      <w:r>
        <w:rPr>
          <w:spacing w:val="40"/>
        </w:rPr>
        <w:t> </w:t>
      </w:r>
      <w:r>
        <w:rPr/>
        <w:t>reference</w:t>
      </w:r>
      <w:r>
        <w:rPr>
          <w:spacing w:val="40"/>
        </w:rPr>
        <w:t> </w:t>
      </w:r>
      <w:r>
        <w:rPr/>
        <w:t>architecture</w:t>
      </w:r>
      <w:r>
        <w:rPr>
          <w:spacing w:val="40"/>
        </w:rPr>
        <w:t> </w:t>
      </w:r>
      <w:r>
        <w:rPr/>
        <w:t>for</w:t>
      </w:r>
      <w:r>
        <w:rPr>
          <w:spacing w:val="40"/>
        </w:rPr>
        <w:t> </w:t>
      </w:r>
      <w:r>
        <w:rPr/>
        <w:t>multi-agent environmental auditing systems. It further demonstrates that the combination</w:t>
      </w:r>
      <w:r>
        <w:rPr>
          <w:spacing w:val="40"/>
        </w:rPr>
        <w:t> </w:t>
      </w:r>
      <w:r>
        <w:rPr/>
        <w:t>of large language model reasoning, structured output protocols, and domain-specific prompt</w:t>
      </w:r>
      <w:r>
        <w:rPr>
          <w:spacing w:val="-4"/>
        </w:rPr>
        <w:t> </w:t>
      </w:r>
      <w:r>
        <w:rPr/>
        <w:t>engineering</w:t>
      </w:r>
      <w:r>
        <w:rPr>
          <w:spacing w:val="-4"/>
        </w:rPr>
        <w:t> </w:t>
      </w:r>
      <w:r>
        <w:rPr/>
        <w:t>can</w:t>
      </w:r>
      <w:r>
        <w:rPr>
          <w:spacing w:val="-4"/>
        </w:rPr>
        <w:t> </w:t>
      </w:r>
      <w:r>
        <w:rPr/>
        <w:t>produce</w:t>
      </w:r>
      <w:r>
        <w:rPr>
          <w:spacing w:val="-4"/>
        </w:rPr>
        <w:t> </w:t>
      </w:r>
      <w:r>
        <w:rPr/>
        <w:t>outputs</w:t>
      </w:r>
      <w:r>
        <w:rPr>
          <w:spacing w:val="-4"/>
        </w:rPr>
        <w:t> </w:t>
      </w:r>
      <w:r>
        <w:rPr/>
        <w:t>of</w:t>
      </w:r>
      <w:r>
        <w:rPr>
          <w:spacing w:val="-4"/>
        </w:rPr>
        <w:t> </w:t>
      </w:r>
      <w:r>
        <w:rPr/>
        <w:t>sufficient</w:t>
      </w:r>
      <w:r>
        <w:rPr>
          <w:spacing w:val="-4"/>
        </w:rPr>
        <w:t> </w:t>
      </w:r>
      <w:r>
        <w:rPr/>
        <w:t>quality</w:t>
      </w:r>
      <w:r>
        <w:rPr>
          <w:spacing w:val="-4"/>
        </w:rPr>
        <w:t> </w:t>
      </w:r>
      <w:r>
        <w:rPr/>
        <w:t>and</w:t>
      </w:r>
      <w:r>
        <w:rPr>
          <w:spacing w:val="-4"/>
        </w:rPr>
        <w:t> </w:t>
      </w:r>
      <w:r>
        <w:rPr/>
        <w:t>depth</w:t>
      </w:r>
      <w:r>
        <w:rPr>
          <w:spacing w:val="-4"/>
        </w:rPr>
        <w:t> </w:t>
      </w:r>
      <w:r>
        <w:rPr/>
        <w:t>to</w:t>
      </w:r>
      <w:r>
        <w:rPr>
          <w:spacing w:val="-4"/>
        </w:rPr>
        <w:t> </w:t>
      </w:r>
      <w:r>
        <w:rPr/>
        <w:t>serve</w:t>
      </w:r>
      <w:r>
        <w:rPr>
          <w:spacing w:val="-4"/>
        </w:rPr>
        <w:t> </w:t>
      </w:r>
      <w:r>
        <w:rPr/>
        <w:t>as</w:t>
      </w:r>
      <w:r>
        <w:rPr>
          <w:spacing w:val="-4"/>
        </w:rPr>
        <w:t> </w:t>
      </w:r>
      <w:r>
        <w:rPr/>
        <w:t>the</w:t>
      </w:r>
      <w:r>
        <w:rPr>
          <w:spacing w:val="-4"/>
        </w:rPr>
        <w:t> </w:t>
      </w:r>
      <w:r>
        <w:rPr/>
        <w:t>basis for informed decision-making in circular economy strategy.</w:t>
      </w:r>
    </w:p>
    <w:p>
      <w:pPr>
        <w:pStyle w:val="BodyText"/>
        <w:spacing w:before="12"/>
      </w:pPr>
    </w:p>
    <w:p>
      <w:pPr>
        <w:pStyle w:val="Heading2"/>
        <w:numPr>
          <w:ilvl w:val="1"/>
          <w:numId w:val="12"/>
        </w:numPr>
        <w:tabs>
          <w:tab w:pos="645" w:val="left" w:leader="none"/>
        </w:tabs>
        <w:spacing w:line="240" w:lineRule="auto" w:before="0" w:after="0"/>
        <w:ind w:left="645" w:right="0" w:hanging="360"/>
        <w:jc w:val="left"/>
      </w:pPr>
      <w:bookmarkStart w:name="_TOC_250001" w:id="28"/>
      <w:r>
        <w:rPr/>
        <w:t>Future </w:t>
      </w:r>
      <w:bookmarkEnd w:id="28"/>
      <w:r>
        <w:rPr>
          <w:spacing w:val="-4"/>
        </w:rPr>
        <w:t>Work</w:t>
      </w:r>
    </w:p>
    <w:p>
      <w:pPr>
        <w:pStyle w:val="BodyText"/>
        <w:spacing w:line="312" w:lineRule="auto" w:before="204"/>
        <w:ind w:left="285" w:right="283"/>
        <w:jc w:val="both"/>
      </w:pPr>
      <w:r>
        <w:rPr/>
        <w:t>Several directions for future development have been identified. First, the integration of real-time material database APIs — such as the European Reference Life Cycle Database (ELCD) or the ecoinvent database — would substantially improve the accuracy of LCA scores by grounding them in verified inventory data rather than model-estimated </w:t>
      </w:r>
      <w:r>
        <w:rPr/>
        <w:t>values. Second, the Industrial Ecology Specialist agent would benefit from integration with geographic information system (GIS) data sources to enable distance-aware symbiosis partner matching, improving the logistical feasibility of recommendations.</w:t>
      </w:r>
    </w:p>
    <w:p>
      <w:pPr>
        <w:pStyle w:val="BodyText"/>
        <w:spacing w:after="0" w:line="312" w:lineRule="auto"/>
        <w:jc w:val="both"/>
        <w:sectPr>
          <w:pgSz w:w="11910" w:h="16840"/>
          <w:pgMar w:header="0" w:footer="626" w:top="1500" w:bottom="820" w:left="1275" w:right="1275"/>
        </w:sectPr>
      </w:pPr>
    </w:p>
    <w:p>
      <w:pPr>
        <w:pStyle w:val="BodyText"/>
        <w:spacing w:line="312" w:lineRule="auto" w:before="78"/>
        <w:ind w:left="285" w:right="284"/>
        <w:jc w:val="both"/>
      </w:pPr>
      <w:r>
        <w:rPr/>
        <w:t>Third, the current synthesis mechanism could be enhanced through a structured </w:t>
      </w:r>
      <w:r>
        <w:rPr/>
        <w:t>debate protocol in which agents with conflicting findings are prompted to provide rebuttals and reach a consensus position before the synthesis stage, more closely mimicking the expert panel</w:t>
      </w:r>
      <w:r>
        <w:rPr>
          <w:spacing w:val="3"/>
        </w:rPr>
        <w:t> </w:t>
      </w:r>
      <w:r>
        <w:rPr/>
        <w:t>deliberation</w:t>
      </w:r>
      <w:r>
        <w:rPr>
          <w:spacing w:val="5"/>
        </w:rPr>
        <w:t> </w:t>
      </w:r>
      <w:r>
        <w:rPr/>
        <w:t>process</w:t>
      </w:r>
      <w:r>
        <w:rPr>
          <w:spacing w:val="5"/>
        </w:rPr>
        <w:t> </w:t>
      </w:r>
      <w:r>
        <w:rPr/>
        <w:t>it</w:t>
      </w:r>
      <w:r>
        <w:rPr>
          <w:spacing w:val="5"/>
        </w:rPr>
        <w:t> </w:t>
      </w:r>
      <w:r>
        <w:rPr/>
        <w:t>aims</w:t>
      </w:r>
      <w:r>
        <w:rPr>
          <w:spacing w:val="5"/>
        </w:rPr>
        <w:t> </w:t>
      </w:r>
      <w:r>
        <w:rPr/>
        <w:t>to</w:t>
      </w:r>
      <w:r>
        <w:rPr>
          <w:spacing w:val="5"/>
        </w:rPr>
        <w:t> </w:t>
      </w:r>
      <w:r>
        <w:rPr/>
        <w:t>replicate.</w:t>
      </w:r>
      <w:r>
        <w:rPr>
          <w:spacing w:val="5"/>
        </w:rPr>
        <w:t> </w:t>
      </w:r>
      <w:r>
        <w:rPr/>
        <w:t>Fourth,</w:t>
      </w:r>
      <w:r>
        <w:rPr>
          <w:spacing w:val="5"/>
        </w:rPr>
        <w:t> </w:t>
      </w:r>
      <w:r>
        <w:rPr/>
        <w:t>support</w:t>
      </w:r>
      <w:r>
        <w:rPr>
          <w:spacing w:val="5"/>
        </w:rPr>
        <w:t> </w:t>
      </w:r>
      <w:r>
        <w:rPr/>
        <w:t>for</w:t>
      </w:r>
      <w:r>
        <w:rPr>
          <w:spacing w:val="5"/>
        </w:rPr>
        <w:t> </w:t>
      </w:r>
      <w:r>
        <w:rPr/>
        <w:t>additional</w:t>
      </w:r>
      <w:r>
        <w:rPr>
          <w:spacing w:val="5"/>
        </w:rPr>
        <w:t> </w:t>
      </w:r>
      <w:r>
        <w:rPr/>
        <w:t>ISO</w:t>
      </w:r>
      <w:r>
        <w:rPr>
          <w:spacing w:val="5"/>
        </w:rPr>
        <w:t> </w:t>
      </w:r>
      <w:r>
        <w:rPr>
          <w:spacing w:val="-2"/>
        </w:rPr>
        <w:t>standards</w:t>
      </w:r>
    </w:p>
    <w:p>
      <w:pPr>
        <w:pStyle w:val="ListParagraph"/>
        <w:numPr>
          <w:ilvl w:val="2"/>
          <w:numId w:val="12"/>
        </w:numPr>
        <w:tabs>
          <w:tab w:pos="598" w:val="left" w:leader="none"/>
        </w:tabs>
        <w:spacing w:line="240" w:lineRule="auto" w:before="5" w:after="0"/>
        <w:ind w:left="598" w:right="0" w:hanging="313"/>
        <w:jc w:val="both"/>
        <w:rPr>
          <w:sz w:val="24"/>
        </w:rPr>
      </w:pPr>
      <w:r>
        <w:rPr>
          <w:sz w:val="24"/>
        </w:rPr>
        <w:t>including</w:t>
      </w:r>
      <w:r>
        <w:rPr>
          <w:spacing w:val="13"/>
          <w:sz w:val="24"/>
        </w:rPr>
        <w:t> </w:t>
      </w:r>
      <w:r>
        <w:rPr>
          <w:sz w:val="24"/>
        </w:rPr>
        <w:t>ISO</w:t>
      </w:r>
      <w:r>
        <w:rPr>
          <w:spacing w:val="13"/>
          <w:sz w:val="24"/>
        </w:rPr>
        <w:t> </w:t>
      </w:r>
      <w:r>
        <w:rPr>
          <w:sz w:val="24"/>
        </w:rPr>
        <w:t>14067</w:t>
      </w:r>
      <w:r>
        <w:rPr>
          <w:spacing w:val="13"/>
          <w:sz w:val="24"/>
        </w:rPr>
        <w:t> </w:t>
      </w:r>
      <w:r>
        <w:rPr>
          <w:sz w:val="24"/>
        </w:rPr>
        <w:t>(Carbon</w:t>
      </w:r>
      <w:r>
        <w:rPr>
          <w:spacing w:val="13"/>
          <w:sz w:val="24"/>
        </w:rPr>
        <w:t> </w:t>
      </w:r>
      <w:r>
        <w:rPr>
          <w:sz w:val="24"/>
        </w:rPr>
        <w:t>Footprint</w:t>
      </w:r>
      <w:r>
        <w:rPr>
          <w:spacing w:val="13"/>
          <w:sz w:val="24"/>
        </w:rPr>
        <w:t> </w:t>
      </w:r>
      <w:r>
        <w:rPr>
          <w:sz w:val="24"/>
        </w:rPr>
        <w:t>of</w:t>
      </w:r>
      <w:r>
        <w:rPr>
          <w:spacing w:val="13"/>
          <w:sz w:val="24"/>
        </w:rPr>
        <w:t> </w:t>
      </w:r>
      <w:r>
        <w:rPr>
          <w:sz w:val="24"/>
        </w:rPr>
        <w:t>Products)</w:t>
      </w:r>
      <w:r>
        <w:rPr>
          <w:spacing w:val="13"/>
          <w:sz w:val="24"/>
        </w:rPr>
        <w:t> </w:t>
      </w:r>
      <w:r>
        <w:rPr>
          <w:sz w:val="24"/>
        </w:rPr>
        <w:t>and</w:t>
      </w:r>
      <w:r>
        <w:rPr>
          <w:spacing w:val="13"/>
          <w:sz w:val="24"/>
        </w:rPr>
        <w:t> </w:t>
      </w:r>
      <w:r>
        <w:rPr>
          <w:sz w:val="24"/>
        </w:rPr>
        <w:t>ISO</w:t>
      </w:r>
      <w:r>
        <w:rPr>
          <w:spacing w:val="13"/>
          <w:sz w:val="24"/>
        </w:rPr>
        <w:t> </w:t>
      </w:r>
      <w:r>
        <w:rPr>
          <w:sz w:val="24"/>
        </w:rPr>
        <w:t>14046</w:t>
      </w:r>
      <w:r>
        <w:rPr>
          <w:spacing w:val="13"/>
          <w:sz w:val="24"/>
        </w:rPr>
        <w:t> </w:t>
      </w:r>
      <w:r>
        <w:rPr>
          <w:sz w:val="24"/>
        </w:rPr>
        <w:t>(Water</w:t>
      </w:r>
      <w:r>
        <w:rPr>
          <w:spacing w:val="13"/>
          <w:sz w:val="24"/>
        </w:rPr>
        <w:t> </w:t>
      </w:r>
      <w:r>
        <w:rPr>
          <w:spacing w:val="-2"/>
          <w:sz w:val="24"/>
        </w:rPr>
        <w:t>Footprint)</w:t>
      </w:r>
    </w:p>
    <w:p>
      <w:pPr>
        <w:pStyle w:val="ListParagraph"/>
        <w:numPr>
          <w:ilvl w:val="2"/>
          <w:numId w:val="12"/>
        </w:numPr>
        <w:tabs>
          <w:tab w:pos="585" w:val="left" w:leader="none"/>
        </w:tabs>
        <w:spacing w:line="240" w:lineRule="auto" w:before="84" w:after="0"/>
        <w:ind w:left="585" w:right="0" w:hanging="300"/>
        <w:jc w:val="both"/>
        <w:rPr>
          <w:sz w:val="24"/>
        </w:rPr>
      </w:pPr>
      <w:r>
        <w:rPr>
          <w:sz w:val="24"/>
        </w:rPr>
        <w:t>would broaden the compliance audit </w:t>
      </w:r>
      <w:r>
        <w:rPr>
          <w:spacing w:val="-2"/>
          <w:sz w:val="24"/>
        </w:rPr>
        <w:t>coverage.</w:t>
      </w:r>
    </w:p>
    <w:p>
      <w:pPr>
        <w:pStyle w:val="BodyText"/>
        <w:spacing w:before="48"/>
      </w:pPr>
    </w:p>
    <w:p>
      <w:pPr>
        <w:pStyle w:val="BodyText"/>
        <w:spacing w:line="312" w:lineRule="auto"/>
        <w:ind w:left="285" w:right="283"/>
        <w:jc w:val="both"/>
      </w:pPr>
      <w:r>
        <w:rPr/>
        <w:t>Fifth, a longitudinal audit capability that tracks circularity performance across </w:t>
      </w:r>
      <w:r>
        <w:rPr/>
        <w:t>successive audit cycles would enable trend analysis and progress monitoring against improvement targets. Finally, the deployment of MACEA as a cloud-hosted service with role-based access control and audit history management would make it suitable for adoption by sustainability consulting firms and enterprise sustainability teams as a production-grade </w:t>
      </w:r>
      <w:r>
        <w:rPr>
          <w:spacing w:val="-2"/>
        </w:rPr>
        <w:t>platform.</w:t>
      </w:r>
    </w:p>
    <w:p>
      <w:pPr>
        <w:pStyle w:val="BodyText"/>
        <w:spacing w:after="0" w:line="312" w:lineRule="auto"/>
        <w:jc w:val="both"/>
        <w:sectPr>
          <w:pgSz w:w="11910" w:h="16840"/>
          <w:pgMar w:header="0" w:footer="626" w:top="1480" w:bottom="820" w:left="1275" w:right="1275"/>
        </w:sectPr>
      </w:pPr>
    </w:p>
    <w:p>
      <w:pPr>
        <w:pStyle w:val="Heading1"/>
      </w:pPr>
      <w:bookmarkStart w:name="_TOC_250000" w:id="29"/>
      <w:bookmarkEnd w:id="29"/>
      <w:r>
        <w:rPr>
          <w:spacing w:val="-2"/>
        </w:rPr>
        <w:t>REFERENCES</w:t>
      </w:r>
    </w:p>
    <w:p>
      <w:pPr>
        <w:pStyle w:val="BodyText"/>
        <w:spacing w:before="176"/>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990600</wp:posOffset>
                </wp:positionH>
                <wp:positionV relativeFrom="paragraph">
                  <wp:posOffset>273196</wp:posOffset>
                </wp:positionV>
                <wp:extent cx="557911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579110" cy="1270"/>
                        </a:xfrm>
                        <a:custGeom>
                          <a:avLst/>
                          <a:gdLst/>
                          <a:ahLst/>
                          <a:cxnLst/>
                          <a:rect l="l" t="t" r="r" b="b"/>
                          <a:pathLst>
                            <a:path w="5579110" h="0">
                              <a:moveTo>
                                <a:pt x="0" y="0"/>
                              </a:moveTo>
                              <a:lnTo>
                                <a:pt x="55788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21.511568pt;width:439.3pt;height:.1pt;mso-position-horizontal-relative:page;mso-position-vertical-relative:paragraph;z-index:-15722496;mso-wrap-distance-left:0;mso-wrap-distance-right:0" id="docshape14" coordorigin="1560,430" coordsize="8786,0" path="m1560,430l10346,430e" filled="false" stroked="true" strokeweight=".5pt" strokecolor="#000000">
                <v:path arrowok="t"/>
                <v:stroke dashstyle="solid"/>
                <w10:wrap type="topAndBottom"/>
              </v:shape>
            </w:pict>
          </mc:Fallback>
        </mc:AlternateContent>
      </w:r>
    </w:p>
    <w:p>
      <w:pPr>
        <w:pStyle w:val="ListParagraph"/>
        <w:numPr>
          <w:ilvl w:val="0"/>
          <w:numId w:val="13"/>
        </w:numPr>
        <w:tabs>
          <w:tab w:pos="632" w:val="left" w:leader="none"/>
          <w:tab w:pos="685" w:val="left" w:leader="none"/>
        </w:tabs>
        <w:spacing w:line="242" w:lineRule="auto" w:before="247" w:after="0"/>
        <w:ind w:left="685" w:right="283" w:hanging="400"/>
        <w:jc w:val="both"/>
        <w:rPr>
          <w:sz w:val="24"/>
        </w:rPr>
      </w:pPr>
      <w:r>
        <w:rPr>
          <w:sz w:val="24"/>
        </w:rPr>
        <w:t>Ellen MacArthur Foundation, </w:t>
      </w:r>
      <w:r>
        <w:rPr>
          <w:i/>
          <w:sz w:val="24"/>
        </w:rPr>
        <w:t>Towards the Circular Economy: Economic and </w:t>
      </w:r>
      <w:r>
        <w:rPr>
          <w:i/>
          <w:sz w:val="24"/>
        </w:rPr>
        <w:t>Business Rationale for an Accelerated Transition</w:t>
      </w:r>
      <w:r>
        <w:rPr>
          <w:sz w:val="24"/>
        </w:rPr>
        <w:t>, Ellen MacArthur Foundation, Cowes, UK, </w:t>
      </w:r>
      <w:r>
        <w:rPr>
          <w:spacing w:val="-2"/>
          <w:sz w:val="24"/>
        </w:rPr>
        <w:t>2013.</w:t>
      </w:r>
    </w:p>
    <w:p>
      <w:pPr>
        <w:pStyle w:val="ListParagraph"/>
        <w:numPr>
          <w:ilvl w:val="0"/>
          <w:numId w:val="13"/>
        </w:numPr>
        <w:tabs>
          <w:tab w:pos="622" w:val="left" w:leader="none"/>
        </w:tabs>
        <w:spacing w:line="240" w:lineRule="auto" w:before="163" w:after="0"/>
        <w:ind w:left="622" w:right="0" w:hanging="337"/>
        <w:jc w:val="left"/>
        <w:rPr>
          <w:sz w:val="24"/>
        </w:rPr>
      </w:pPr>
      <w:r>
        <w:rPr>
          <w:sz w:val="24"/>
        </w:rPr>
        <w:t>W.</w:t>
      </w:r>
      <w:r>
        <w:rPr>
          <w:spacing w:val="-2"/>
          <w:sz w:val="24"/>
        </w:rPr>
        <w:t> </w:t>
      </w:r>
      <w:r>
        <w:rPr>
          <w:sz w:val="24"/>
        </w:rPr>
        <w:t>R.</w:t>
      </w:r>
      <w:r>
        <w:rPr>
          <w:spacing w:val="-2"/>
          <w:sz w:val="24"/>
        </w:rPr>
        <w:t> </w:t>
      </w:r>
      <w:r>
        <w:rPr>
          <w:sz w:val="24"/>
        </w:rPr>
        <w:t>Stahel,</w:t>
      </w:r>
      <w:r>
        <w:rPr>
          <w:spacing w:val="-2"/>
          <w:sz w:val="24"/>
        </w:rPr>
        <w:t> </w:t>
      </w:r>
      <w:r>
        <w:rPr>
          <w:i/>
          <w:sz w:val="24"/>
        </w:rPr>
        <w:t>The</w:t>
      </w:r>
      <w:r>
        <w:rPr>
          <w:i/>
          <w:spacing w:val="-2"/>
          <w:sz w:val="24"/>
        </w:rPr>
        <w:t> </w:t>
      </w:r>
      <w:r>
        <w:rPr>
          <w:i/>
          <w:sz w:val="24"/>
        </w:rPr>
        <w:t>Circular</w:t>
      </w:r>
      <w:r>
        <w:rPr>
          <w:i/>
          <w:spacing w:val="-2"/>
          <w:sz w:val="24"/>
        </w:rPr>
        <w:t> </w:t>
      </w:r>
      <w:r>
        <w:rPr>
          <w:i/>
          <w:sz w:val="24"/>
        </w:rPr>
        <w:t>Economy:</w:t>
      </w:r>
      <w:r>
        <w:rPr>
          <w:i/>
          <w:spacing w:val="-2"/>
          <w:sz w:val="24"/>
        </w:rPr>
        <w:t> </w:t>
      </w:r>
      <w:r>
        <w:rPr>
          <w:i/>
          <w:sz w:val="24"/>
        </w:rPr>
        <w:t>A</w:t>
      </w:r>
      <w:r>
        <w:rPr>
          <w:i/>
          <w:spacing w:val="-2"/>
          <w:sz w:val="24"/>
        </w:rPr>
        <w:t> </w:t>
      </w:r>
      <w:r>
        <w:rPr>
          <w:i/>
          <w:sz w:val="24"/>
        </w:rPr>
        <w:t>User's</w:t>
      </w:r>
      <w:r>
        <w:rPr>
          <w:i/>
          <w:spacing w:val="-2"/>
          <w:sz w:val="24"/>
        </w:rPr>
        <w:t> </w:t>
      </w:r>
      <w:r>
        <w:rPr>
          <w:i/>
          <w:sz w:val="24"/>
        </w:rPr>
        <w:t>Guide</w:t>
      </w:r>
      <w:r>
        <w:rPr>
          <w:sz w:val="24"/>
        </w:rPr>
        <w:t>,</w:t>
      </w:r>
      <w:r>
        <w:rPr>
          <w:spacing w:val="-2"/>
          <w:sz w:val="24"/>
        </w:rPr>
        <w:t> </w:t>
      </w:r>
      <w:r>
        <w:rPr>
          <w:sz w:val="24"/>
        </w:rPr>
        <w:t>Routledge,</w:t>
      </w:r>
      <w:r>
        <w:rPr>
          <w:spacing w:val="-2"/>
          <w:sz w:val="24"/>
        </w:rPr>
        <w:t> </w:t>
      </w:r>
      <w:r>
        <w:rPr>
          <w:sz w:val="24"/>
        </w:rPr>
        <w:t>Abingdon,</w:t>
      </w:r>
      <w:r>
        <w:rPr>
          <w:spacing w:val="-2"/>
          <w:sz w:val="24"/>
        </w:rPr>
        <w:t> </w:t>
      </w:r>
      <w:r>
        <w:rPr>
          <w:sz w:val="24"/>
        </w:rPr>
        <w:t>UK,</w:t>
      </w:r>
      <w:r>
        <w:rPr>
          <w:spacing w:val="-2"/>
          <w:sz w:val="24"/>
        </w:rPr>
        <w:t> 2019.</w:t>
      </w:r>
    </w:p>
    <w:p>
      <w:pPr>
        <w:pStyle w:val="ListParagraph"/>
        <w:numPr>
          <w:ilvl w:val="0"/>
          <w:numId w:val="13"/>
        </w:numPr>
        <w:tabs>
          <w:tab w:pos="657" w:val="left" w:leader="none"/>
          <w:tab w:pos="685" w:val="left" w:leader="none"/>
        </w:tabs>
        <w:spacing w:line="242" w:lineRule="auto" w:before="164" w:after="0"/>
        <w:ind w:left="685" w:right="283" w:hanging="400"/>
        <w:jc w:val="both"/>
        <w:rPr>
          <w:sz w:val="24"/>
        </w:rPr>
      </w:pPr>
      <w:r>
        <w:rPr>
          <w:sz w:val="24"/>
        </w:rPr>
        <w:t>J. Kirchherr, D. Reike, and M. Hekkert, "Conceptualizing the circular economy: </w:t>
      </w:r>
      <w:r>
        <w:rPr>
          <w:sz w:val="24"/>
        </w:rPr>
        <w:t>An analysis of 114 definitions," </w:t>
      </w:r>
      <w:r>
        <w:rPr>
          <w:i/>
          <w:sz w:val="24"/>
        </w:rPr>
        <w:t>Resources, Conservation and Recycling</w:t>
      </w:r>
      <w:r>
        <w:rPr>
          <w:sz w:val="24"/>
        </w:rPr>
        <w:t>, vol. 127, pp. 221–232, Dec. 2017.</w:t>
      </w:r>
    </w:p>
    <w:p>
      <w:pPr>
        <w:pStyle w:val="ListParagraph"/>
        <w:numPr>
          <w:ilvl w:val="0"/>
          <w:numId w:val="13"/>
        </w:numPr>
        <w:tabs>
          <w:tab w:pos="639" w:val="left" w:leader="none"/>
          <w:tab w:pos="685" w:val="left" w:leader="none"/>
        </w:tabs>
        <w:spacing w:line="242" w:lineRule="auto" w:before="164" w:after="0"/>
        <w:ind w:left="685" w:right="283" w:hanging="400"/>
        <w:jc w:val="both"/>
        <w:rPr>
          <w:sz w:val="24"/>
        </w:rPr>
      </w:pPr>
      <w:r>
        <w:rPr>
          <w:sz w:val="24"/>
        </w:rPr>
        <w:t>Ellen MacArthur Foundation and Granta Design, </w:t>
      </w:r>
      <w:r>
        <w:rPr>
          <w:i/>
          <w:sz w:val="24"/>
        </w:rPr>
        <w:t>Circularity Indicators: An </w:t>
      </w:r>
      <w:r>
        <w:rPr>
          <w:i/>
          <w:sz w:val="24"/>
        </w:rPr>
        <w:t>Approach to Measuring Circularity — Methodology</w:t>
      </w:r>
      <w:r>
        <w:rPr>
          <w:sz w:val="24"/>
        </w:rPr>
        <w:t>, Ellen MacArthur Foundation, Cowes, UK, </w:t>
      </w:r>
      <w:r>
        <w:rPr>
          <w:spacing w:val="-2"/>
          <w:sz w:val="24"/>
        </w:rPr>
        <w:t>2015.</w:t>
      </w:r>
    </w:p>
    <w:p>
      <w:pPr>
        <w:pStyle w:val="ListParagraph"/>
        <w:numPr>
          <w:ilvl w:val="0"/>
          <w:numId w:val="13"/>
        </w:numPr>
        <w:tabs>
          <w:tab w:pos="623" w:val="left" w:leader="none"/>
        </w:tabs>
        <w:spacing w:line="240" w:lineRule="auto" w:before="164" w:after="0"/>
        <w:ind w:left="623" w:right="0" w:hanging="338"/>
        <w:jc w:val="left"/>
        <w:rPr>
          <w:i/>
          <w:sz w:val="24"/>
        </w:rPr>
      </w:pPr>
      <w:r>
        <w:rPr>
          <w:sz w:val="24"/>
        </w:rPr>
        <w:t>International</w:t>
      </w:r>
      <w:r>
        <w:rPr>
          <w:spacing w:val="-1"/>
          <w:sz w:val="24"/>
        </w:rPr>
        <w:t> </w:t>
      </w:r>
      <w:r>
        <w:rPr>
          <w:sz w:val="24"/>
        </w:rPr>
        <w:t>Organisation</w:t>
      </w:r>
      <w:r>
        <w:rPr>
          <w:spacing w:val="-1"/>
          <w:sz w:val="24"/>
        </w:rPr>
        <w:t> </w:t>
      </w:r>
      <w:r>
        <w:rPr>
          <w:sz w:val="24"/>
        </w:rPr>
        <w:t>for</w:t>
      </w:r>
      <w:r>
        <w:rPr>
          <w:spacing w:val="-1"/>
          <w:sz w:val="24"/>
        </w:rPr>
        <w:t> </w:t>
      </w:r>
      <w:r>
        <w:rPr>
          <w:sz w:val="24"/>
        </w:rPr>
        <w:t>Standardisation,</w:t>
      </w:r>
      <w:r>
        <w:rPr>
          <w:spacing w:val="-1"/>
          <w:sz w:val="24"/>
        </w:rPr>
        <w:t> </w:t>
      </w:r>
      <w:r>
        <w:rPr>
          <w:i/>
          <w:sz w:val="24"/>
        </w:rPr>
        <w:t>ISO</w:t>
      </w:r>
      <w:r>
        <w:rPr>
          <w:i/>
          <w:spacing w:val="-1"/>
          <w:sz w:val="24"/>
        </w:rPr>
        <w:t> </w:t>
      </w:r>
      <w:r>
        <w:rPr>
          <w:i/>
          <w:sz w:val="24"/>
        </w:rPr>
        <w:t>14040:</w:t>
      </w:r>
      <w:r>
        <w:rPr>
          <w:i/>
          <w:spacing w:val="-1"/>
          <w:sz w:val="24"/>
        </w:rPr>
        <w:t> </w:t>
      </w:r>
      <w:r>
        <w:rPr>
          <w:i/>
          <w:sz w:val="24"/>
        </w:rPr>
        <w:t>Environmental</w:t>
      </w:r>
      <w:r>
        <w:rPr>
          <w:i/>
          <w:spacing w:val="-1"/>
          <w:sz w:val="24"/>
        </w:rPr>
        <w:t> </w:t>
      </w:r>
      <w:r>
        <w:rPr>
          <w:i/>
          <w:spacing w:val="-2"/>
          <w:sz w:val="24"/>
        </w:rPr>
        <w:t>Management</w:t>
      </w:r>
    </w:p>
    <w:p>
      <w:pPr>
        <w:spacing w:line="242" w:lineRule="auto" w:before="4"/>
        <w:ind w:left="685" w:right="0" w:firstLine="0"/>
        <w:jc w:val="left"/>
        <w:rPr>
          <w:sz w:val="24"/>
        </w:rPr>
      </w:pPr>
      <w:r>
        <w:rPr>
          <w:i/>
          <w:sz w:val="24"/>
        </w:rPr>
        <w:t>—</w:t>
      </w:r>
      <w:r>
        <w:rPr>
          <w:i/>
          <w:spacing w:val="33"/>
          <w:sz w:val="24"/>
        </w:rPr>
        <w:t> </w:t>
      </w:r>
      <w:r>
        <w:rPr>
          <w:i/>
          <w:sz w:val="24"/>
        </w:rPr>
        <w:t>Life</w:t>
      </w:r>
      <w:r>
        <w:rPr>
          <w:i/>
          <w:spacing w:val="33"/>
          <w:sz w:val="24"/>
        </w:rPr>
        <w:t> </w:t>
      </w:r>
      <w:r>
        <w:rPr>
          <w:i/>
          <w:sz w:val="24"/>
        </w:rPr>
        <w:t>Cycle</w:t>
      </w:r>
      <w:r>
        <w:rPr>
          <w:i/>
          <w:spacing w:val="33"/>
          <w:sz w:val="24"/>
        </w:rPr>
        <w:t> </w:t>
      </w:r>
      <w:r>
        <w:rPr>
          <w:i/>
          <w:sz w:val="24"/>
        </w:rPr>
        <w:t>Assessment</w:t>
      </w:r>
      <w:r>
        <w:rPr>
          <w:i/>
          <w:spacing w:val="33"/>
          <w:sz w:val="24"/>
        </w:rPr>
        <w:t> </w:t>
      </w:r>
      <w:r>
        <w:rPr>
          <w:i/>
          <w:sz w:val="24"/>
        </w:rPr>
        <w:t>—</w:t>
      </w:r>
      <w:r>
        <w:rPr>
          <w:i/>
          <w:spacing w:val="33"/>
          <w:sz w:val="24"/>
        </w:rPr>
        <w:t> </w:t>
      </w:r>
      <w:r>
        <w:rPr>
          <w:i/>
          <w:sz w:val="24"/>
        </w:rPr>
        <w:t>Principles</w:t>
      </w:r>
      <w:r>
        <w:rPr>
          <w:i/>
          <w:spacing w:val="33"/>
          <w:sz w:val="24"/>
        </w:rPr>
        <w:t> </w:t>
      </w:r>
      <w:r>
        <w:rPr>
          <w:i/>
          <w:sz w:val="24"/>
        </w:rPr>
        <w:t>and</w:t>
      </w:r>
      <w:r>
        <w:rPr>
          <w:i/>
          <w:spacing w:val="33"/>
          <w:sz w:val="24"/>
        </w:rPr>
        <w:t> </w:t>
      </w:r>
      <w:r>
        <w:rPr>
          <w:i/>
          <w:sz w:val="24"/>
        </w:rPr>
        <w:t>Framework</w:t>
      </w:r>
      <w:r>
        <w:rPr>
          <w:sz w:val="24"/>
        </w:rPr>
        <w:t>,</w:t>
      </w:r>
      <w:r>
        <w:rPr>
          <w:spacing w:val="33"/>
          <w:sz w:val="24"/>
        </w:rPr>
        <w:t> </w:t>
      </w:r>
      <w:r>
        <w:rPr>
          <w:sz w:val="24"/>
        </w:rPr>
        <w:t>ISO,</w:t>
      </w:r>
      <w:r>
        <w:rPr>
          <w:spacing w:val="33"/>
          <w:sz w:val="24"/>
        </w:rPr>
        <w:t> </w:t>
      </w:r>
      <w:r>
        <w:rPr>
          <w:sz w:val="24"/>
        </w:rPr>
        <w:t>Geneva,</w:t>
      </w:r>
      <w:r>
        <w:rPr>
          <w:spacing w:val="33"/>
          <w:sz w:val="24"/>
        </w:rPr>
        <w:t> </w:t>
      </w:r>
      <w:r>
        <w:rPr>
          <w:sz w:val="24"/>
        </w:rPr>
        <w:t>Switzerland, </w:t>
      </w:r>
      <w:r>
        <w:rPr>
          <w:spacing w:val="-2"/>
          <w:sz w:val="24"/>
        </w:rPr>
        <w:t>2006.</w:t>
      </w:r>
    </w:p>
    <w:p>
      <w:pPr>
        <w:pStyle w:val="ListParagraph"/>
        <w:numPr>
          <w:ilvl w:val="0"/>
          <w:numId w:val="13"/>
        </w:numPr>
        <w:tabs>
          <w:tab w:pos="669" w:val="left" w:leader="none"/>
          <w:tab w:pos="685" w:val="left" w:leader="none"/>
        </w:tabs>
        <w:spacing w:line="242" w:lineRule="auto" w:before="163" w:after="0"/>
        <w:ind w:left="685" w:right="283" w:hanging="400"/>
        <w:jc w:val="both"/>
        <w:rPr>
          <w:sz w:val="24"/>
        </w:rPr>
      </w:pPr>
      <w:r>
        <w:rPr>
          <w:sz w:val="24"/>
        </w:rPr>
        <w:t>M. Z. Hauschild, R. K. Rosenbaum, and S. I. Olsen, Eds., </w:t>
      </w:r>
      <w:r>
        <w:rPr>
          <w:i/>
          <w:sz w:val="24"/>
        </w:rPr>
        <w:t>Life Cycle </w:t>
      </w:r>
      <w:r>
        <w:rPr>
          <w:i/>
          <w:sz w:val="24"/>
        </w:rPr>
        <w:t>Assessment: Theory and Practice</w:t>
      </w:r>
      <w:r>
        <w:rPr>
          <w:sz w:val="24"/>
        </w:rPr>
        <w:t>, Springer, Cham, Switzerland, 2018.</w:t>
      </w:r>
    </w:p>
    <w:p>
      <w:pPr>
        <w:pStyle w:val="ListParagraph"/>
        <w:numPr>
          <w:ilvl w:val="0"/>
          <w:numId w:val="13"/>
        </w:numPr>
        <w:tabs>
          <w:tab w:pos="647" w:val="left" w:leader="none"/>
          <w:tab w:pos="685" w:val="left" w:leader="none"/>
        </w:tabs>
        <w:spacing w:line="242" w:lineRule="auto" w:before="162" w:after="0"/>
        <w:ind w:left="685" w:right="283" w:hanging="400"/>
        <w:jc w:val="both"/>
        <w:rPr>
          <w:sz w:val="24"/>
        </w:rPr>
      </w:pPr>
      <w:r>
        <w:rPr>
          <w:sz w:val="24"/>
        </w:rPr>
        <w:t>E. Bonabeau, "Agent-based modeling: Methods and techniques for simulating </w:t>
      </w:r>
      <w:r>
        <w:rPr>
          <w:sz w:val="24"/>
        </w:rPr>
        <w:t>human systems," </w:t>
      </w:r>
      <w:r>
        <w:rPr>
          <w:i/>
          <w:sz w:val="24"/>
        </w:rPr>
        <w:t>Proceedings of the National Academy of Sciences</w:t>
      </w:r>
      <w:r>
        <w:rPr>
          <w:sz w:val="24"/>
        </w:rPr>
        <w:t>, vol. 99, no. suppl. 3, pp. 7280–7287, May 2002.</w:t>
      </w:r>
    </w:p>
    <w:p>
      <w:pPr>
        <w:pStyle w:val="ListParagraph"/>
        <w:numPr>
          <w:ilvl w:val="0"/>
          <w:numId w:val="13"/>
        </w:numPr>
        <w:tabs>
          <w:tab w:pos="623" w:val="left" w:leader="none"/>
          <w:tab w:pos="685" w:val="left" w:leader="none"/>
        </w:tabs>
        <w:spacing w:line="242" w:lineRule="auto" w:before="164" w:after="0"/>
        <w:ind w:left="685" w:right="283" w:hanging="400"/>
        <w:jc w:val="both"/>
        <w:rPr>
          <w:sz w:val="24"/>
        </w:rPr>
      </w:pPr>
      <w:r>
        <w:rPr>
          <w:sz w:val="24"/>
        </w:rPr>
        <w:t>Q.</w:t>
      </w:r>
      <w:r>
        <w:rPr>
          <w:spacing w:val="-3"/>
          <w:sz w:val="24"/>
        </w:rPr>
        <w:t> </w:t>
      </w:r>
      <w:r>
        <w:rPr>
          <w:sz w:val="24"/>
        </w:rPr>
        <w:t>Wu,</w:t>
      </w:r>
      <w:r>
        <w:rPr>
          <w:spacing w:val="-3"/>
          <w:sz w:val="24"/>
        </w:rPr>
        <w:t> </w:t>
      </w:r>
      <w:r>
        <w:rPr>
          <w:sz w:val="24"/>
        </w:rPr>
        <w:t>G.</w:t>
      </w:r>
      <w:r>
        <w:rPr>
          <w:spacing w:val="-3"/>
          <w:sz w:val="24"/>
        </w:rPr>
        <w:t> </w:t>
      </w:r>
      <w:r>
        <w:rPr>
          <w:sz w:val="24"/>
        </w:rPr>
        <w:t>Bansal,</w:t>
      </w:r>
      <w:r>
        <w:rPr>
          <w:spacing w:val="-3"/>
          <w:sz w:val="24"/>
        </w:rPr>
        <w:t> </w:t>
      </w:r>
      <w:r>
        <w:rPr>
          <w:sz w:val="24"/>
        </w:rPr>
        <w:t>J.</w:t>
      </w:r>
      <w:r>
        <w:rPr>
          <w:spacing w:val="-3"/>
          <w:sz w:val="24"/>
        </w:rPr>
        <w:t> </w:t>
      </w:r>
      <w:r>
        <w:rPr>
          <w:sz w:val="24"/>
        </w:rPr>
        <w:t>Zhang,</w:t>
      </w:r>
      <w:r>
        <w:rPr>
          <w:spacing w:val="-3"/>
          <w:sz w:val="24"/>
        </w:rPr>
        <w:t> </w:t>
      </w:r>
      <w:r>
        <w:rPr>
          <w:sz w:val="24"/>
        </w:rPr>
        <w:t>Y.</w:t>
      </w:r>
      <w:r>
        <w:rPr>
          <w:spacing w:val="-3"/>
          <w:sz w:val="24"/>
        </w:rPr>
        <w:t> </w:t>
      </w:r>
      <w:r>
        <w:rPr>
          <w:sz w:val="24"/>
        </w:rPr>
        <w:t>Wu,</w:t>
      </w:r>
      <w:r>
        <w:rPr>
          <w:spacing w:val="-3"/>
          <w:sz w:val="24"/>
        </w:rPr>
        <w:t> </w:t>
      </w:r>
      <w:r>
        <w:rPr>
          <w:sz w:val="24"/>
        </w:rPr>
        <w:t>S.</w:t>
      </w:r>
      <w:r>
        <w:rPr>
          <w:spacing w:val="-3"/>
          <w:sz w:val="24"/>
        </w:rPr>
        <w:t> </w:t>
      </w:r>
      <w:r>
        <w:rPr>
          <w:sz w:val="24"/>
        </w:rPr>
        <w:t>Zhang,</w:t>
      </w:r>
      <w:r>
        <w:rPr>
          <w:spacing w:val="-3"/>
          <w:sz w:val="24"/>
        </w:rPr>
        <w:t> </w:t>
      </w:r>
      <w:r>
        <w:rPr>
          <w:sz w:val="24"/>
        </w:rPr>
        <w:t>E.</w:t>
      </w:r>
      <w:r>
        <w:rPr>
          <w:spacing w:val="-3"/>
          <w:sz w:val="24"/>
        </w:rPr>
        <w:t> </w:t>
      </w:r>
      <w:r>
        <w:rPr>
          <w:sz w:val="24"/>
        </w:rPr>
        <w:t>Zhu,</w:t>
      </w:r>
      <w:r>
        <w:rPr>
          <w:spacing w:val="-3"/>
          <w:sz w:val="24"/>
        </w:rPr>
        <w:t> </w:t>
      </w:r>
      <w:r>
        <w:rPr>
          <w:sz w:val="24"/>
        </w:rPr>
        <w:t>B.</w:t>
      </w:r>
      <w:r>
        <w:rPr>
          <w:spacing w:val="-3"/>
          <w:sz w:val="24"/>
        </w:rPr>
        <w:t> </w:t>
      </w:r>
      <w:r>
        <w:rPr>
          <w:sz w:val="24"/>
        </w:rPr>
        <w:t>Li,</w:t>
      </w:r>
      <w:r>
        <w:rPr>
          <w:spacing w:val="-3"/>
          <w:sz w:val="24"/>
        </w:rPr>
        <w:t> </w:t>
      </w:r>
      <w:r>
        <w:rPr>
          <w:sz w:val="24"/>
        </w:rPr>
        <w:t>L.</w:t>
      </w:r>
      <w:r>
        <w:rPr>
          <w:spacing w:val="-3"/>
          <w:sz w:val="24"/>
        </w:rPr>
        <w:t> </w:t>
      </w:r>
      <w:r>
        <w:rPr>
          <w:sz w:val="24"/>
        </w:rPr>
        <w:t>Jiang,</w:t>
      </w:r>
      <w:r>
        <w:rPr>
          <w:spacing w:val="-3"/>
          <w:sz w:val="24"/>
        </w:rPr>
        <w:t> </w:t>
      </w:r>
      <w:r>
        <w:rPr>
          <w:sz w:val="24"/>
        </w:rPr>
        <w:t>X.</w:t>
      </w:r>
      <w:r>
        <w:rPr>
          <w:spacing w:val="-3"/>
          <w:sz w:val="24"/>
        </w:rPr>
        <w:t> </w:t>
      </w:r>
      <w:r>
        <w:rPr>
          <w:sz w:val="24"/>
        </w:rPr>
        <w:t>Zhang,</w:t>
      </w:r>
      <w:r>
        <w:rPr>
          <w:spacing w:val="-3"/>
          <w:sz w:val="24"/>
        </w:rPr>
        <w:t> </w:t>
      </w:r>
      <w:r>
        <w:rPr>
          <w:sz w:val="24"/>
        </w:rPr>
        <w:t>and</w:t>
      </w:r>
      <w:r>
        <w:rPr>
          <w:spacing w:val="-3"/>
          <w:sz w:val="24"/>
        </w:rPr>
        <w:t> </w:t>
      </w:r>
      <w:r>
        <w:rPr>
          <w:sz w:val="24"/>
        </w:rPr>
        <w:t>C. Wang, "AutoGen: Enabling next-gen LLM applications via multi-agent </w:t>
      </w:r>
      <w:r>
        <w:rPr>
          <w:sz w:val="24"/>
        </w:rPr>
        <w:t>conversation," in </w:t>
      </w:r>
      <w:r>
        <w:rPr>
          <w:i/>
          <w:sz w:val="24"/>
        </w:rPr>
        <w:t>Proc. 12th Int. Conf. Learning Representations (ICLR)</w:t>
      </w:r>
      <w:r>
        <w:rPr>
          <w:sz w:val="24"/>
        </w:rPr>
        <w:t>, Vienna, Austria, 2024.</w:t>
      </w:r>
    </w:p>
    <w:p>
      <w:pPr>
        <w:pStyle w:val="ListParagraph"/>
        <w:numPr>
          <w:ilvl w:val="0"/>
          <w:numId w:val="13"/>
        </w:numPr>
        <w:tabs>
          <w:tab w:pos="663" w:val="left" w:leader="none"/>
          <w:tab w:pos="685" w:val="left" w:leader="none"/>
        </w:tabs>
        <w:spacing w:line="242" w:lineRule="auto" w:before="164" w:after="0"/>
        <w:ind w:left="685" w:right="283" w:hanging="400"/>
        <w:jc w:val="both"/>
        <w:rPr>
          <w:sz w:val="24"/>
        </w:rPr>
      </w:pPr>
      <w:r>
        <w:rPr>
          <w:sz w:val="24"/>
        </w:rPr>
        <w:t>M. R. Chertow, "Industrial symbiosis: Literature and taxonomy," </w:t>
      </w:r>
      <w:r>
        <w:rPr>
          <w:i/>
          <w:sz w:val="24"/>
        </w:rPr>
        <w:t>Annual Review of Energy and the Environment</w:t>
      </w:r>
      <w:r>
        <w:rPr>
          <w:sz w:val="24"/>
        </w:rPr>
        <w:t>, vol. 25, no. 1, pp. 313–337, Nov. 2000.</w:t>
      </w:r>
    </w:p>
    <w:p>
      <w:pPr>
        <w:pStyle w:val="ListParagraph"/>
        <w:numPr>
          <w:ilvl w:val="0"/>
          <w:numId w:val="13"/>
        </w:numPr>
        <w:tabs>
          <w:tab w:pos="685" w:val="left" w:leader="none"/>
          <w:tab w:pos="773" w:val="left" w:leader="none"/>
        </w:tabs>
        <w:spacing w:line="242" w:lineRule="auto" w:before="162" w:after="0"/>
        <w:ind w:left="685" w:right="283" w:hanging="400"/>
        <w:jc w:val="both"/>
        <w:rPr>
          <w:sz w:val="24"/>
        </w:rPr>
      </w:pPr>
      <w:r>
        <w:rPr>
          <w:sz w:val="24"/>
        </w:rPr>
        <w:tab/>
        <w:t>D. Fraccascia, I. Giannoccaro, and V. Albino, "Efficacy of landfill tax and subsidy policies for the emergence of industrial symbiosis networks: An agent-based</w:t>
      </w:r>
      <w:r>
        <w:rPr>
          <w:spacing w:val="40"/>
          <w:sz w:val="24"/>
        </w:rPr>
        <w:t> </w:t>
      </w:r>
      <w:r>
        <w:rPr>
          <w:sz w:val="24"/>
        </w:rPr>
        <w:t>simulation study," </w:t>
      </w:r>
      <w:r>
        <w:rPr>
          <w:i/>
          <w:sz w:val="24"/>
        </w:rPr>
        <w:t>Sustainability</w:t>
      </w:r>
      <w:r>
        <w:rPr>
          <w:sz w:val="24"/>
        </w:rPr>
        <w:t>, vol. 9, no. 4, p. 521, Apr. 2017.</w:t>
      </w:r>
    </w:p>
    <w:sectPr>
      <w:pgSz w:w="11910" w:h="16840"/>
      <w:pgMar w:header="0" w:footer="626" w:top="1500" w:bottom="8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4560">
              <wp:simplePos x="0" y="0"/>
              <wp:positionH relativeFrom="page">
                <wp:posOffset>3714341</wp:posOffset>
              </wp:positionH>
              <wp:positionV relativeFrom="page">
                <wp:posOffset>10154648</wp:posOffset>
              </wp:positionV>
              <wp:extent cx="13144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1445" cy="166370"/>
                      </a:xfrm>
                      <a:prstGeom prst="rect">
                        <a:avLst/>
                      </a:prstGeom>
                    </wps:spPr>
                    <wps:txbx>
                      <w:txbxContent>
                        <w:p>
                          <w:pPr>
                            <w:spacing w:before="11"/>
                            <w:ind w:left="2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467804pt;margin-top:799.578613pt;width:10.35pt;height:13.1pt;mso-position-horizontal-relative:page;mso-position-vertical-relative:page;z-index:-16081920" type="#_x0000_t202" id="docshape1" filled="false" stroked="false">
              <v:textbox inset="0,0,0,0">
                <w:txbxContent>
                  <w:p>
                    <w:pPr>
                      <w:spacing w:before="11"/>
                      <w:ind w:left="2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5072">
              <wp:simplePos x="0" y="0"/>
              <wp:positionH relativeFrom="page">
                <wp:posOffset>3703799</wp:posOffset>
              </wp:positionH>
              <wp:positionV relativeFrom="page">
                <wp:posOffset>10154648</wp:posOffset>
              </wp:positionV>
              <wp:extent cx="152400" cy="1663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2400" cy="166370"/>
                      </a:xfrm>
                      <a:prstGeom prst="rect">
                        <a:avLst/>
                      </a:prstGeom>
                    </wps:spPr>
                    <wps:txbx>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1.637787pt;margin-top:799.578613pt;width:12pt;height:13.1pt;mso-position-horizontal-relative:page;mso-position-vertical-relative:page;z-index:-16081408" type="#_x0000_t202" id="docshape5" filled="false" stroked="false">
              <v:textbox inset="0,0,0,0">
                <w:txbxContent>
                  <w:p>
                    <w:pPr>
                      <w:spacing w:before="11"/>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685" w:hanging="34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47" w:hanging="349"/>
      </w:pPr>
      <w:rPr>
        <w:rFonts w:hint="default"/>
        <w:lang w:val="en-US" w:eastAsia="en-US" w:bidi="ar-SA"/>
      </w:rPr>
    </w:lvl>
    <w:lvl w:ilvl="2">
      <w:start w:val="0"/>
      <w:numFmt w:val="bullet"/>
      <w:lvlText w:val="•"/>
      <w:lvlJc w:val="left"/>
      <w:pPr>
        <w:ind w:left="2415" w:hanging="349"/>
      </w:pPr>
      <w:rPr>
        <w:rFonts w:hint="default"/>
        <w:lang w:val="en-US" w:eastAsia="en-US" w:bidi="ar-SA"/>
      </w:rPr>
    </w:lvl>
    <w:lvl w:ilvl="3">
      <w:start w:val="0"/>
      <w:numFmt w:val="bullet"/>
      <w:lvlText w:val="•"/>
      <w:lvlJc w:val="left"/>
      <w:pPr>
        <w:ind w:left="3282" w:hanging="349"/>
      </w:pPr>
      <w:rPr>
        <w:rFonts w:hint="default"/>
        <w:lang w:val="en-US" w:eastAsia="en-US" w:bidi="ar-SA"/>
      </w:rPr>
    </w:lvl>
    <w:lvl w:ilvl="4">
      <w:start w:val="0"/>
      <w:numFmt w:val="bullet"/>
      <w:lvlText w:val="•"/>
      <w:lvlJc w:val="left"/>
      <w:pPr>
        <w:ind w:left="4150" w:hanging="349"/>
      </w:pPr>
      <w:rPr>
        <w:rFonts w:hint="default"/>
        <w:lang w:val="en-US" w:eastAsia="en-US" w:bidi="ar-SA"/>
      </w:rPr>
    </w:lvl>
    <w:lvl w:ilvl="5">
      <w:start w:val="0"/>
      <w:numFmt w:val="bullet"/>
      <w:lvlText w:val="•"/>
      <w:lvlJc w:val="left"/>
      <w:pPr>
        <w:ind w:left="5017" w:hanging="349"/>
      </w:pPr>
      <w:rPr>
        <w:rFonts w:hint="default"/>
        <w:lang w:val="en-US" w:eastAsia="en-US" w:bidi="ar-SA"/>
      </w:rPr>
    </w:lvl>
    <w:lvl w:ilvl="6">
      <w:start w:val="0"/>
      <w:numFmt w:val="bullet"/>
      <w:lvlText w:val="•"/>
      <w:lvlJc w:val="left"/>
      <w:pPr>
        <w:ind w:left="5885" w:hanging="349"/>
      </w:pPr>
      <w:rPr>
        <w:rFonts w:hint="default"/>
        <w:lang w:val="en-US" w:eastAsia="en-US" w:bidi="ar-SA"/>
      </w:rPr>
    </w:lvl>
    <w:lvl w:ilvl="7">
      <w:start w:val="0"/>
      <w:numFmt w:val="bullet"/>
      <w:lvlText w:val="•"/>
      <w:lvlJc w:val="left"/>
      <w:pPr>
        <w:ind w:left="6752" w:hanging="349"/>
      </w:pPr>
      <w:rPr>
        <w:rFonts w:hint="default"/>
        <w:lang w:val="en-US" w:eastAsia="en-US" w:bidi="ar-SA"/>
      </w:rPr>
    </w:lvl>
    <w:lvl w:ilvl="8">
      <w:start w:val="0"/>
      <w:numFmt w:val="bullet"/>
      <w:lvlText w:val="•"/>
      <w:lvlJc w:val="left"/>
      <w:pPr>
        <w:ind w:left="7620" w:hanging="349"/>
      </w:pPr>
      <w:rPr>
        <w:rFonts w:hint="default"/>
        <w:lang w:val="en-US" w:eastAsia="en-US" w:bidi="ar-SA"/>
      </w:rPr>
    </w:lvl>
  </w:abstractNum>
  <w:abstractNum w:abstractNumId="11">
    <w:multiLevelType w:val="hybridMultilevel"/>
    <w:lvl w:ilvl="0">
      <w:start w:val="6"/>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598" w:hanging="31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76" w:hanging="314"/>
      </w:pPr>
      <w:rPr>
        <w:rFonts w:hint="default"/>
        <w:lang w:val="en-US" w:eastAsia="en-US" w:bidi="ar-SA"/>
      </w:rPr>
    </w:lvl>
    <w:lvl w:ilvl="4">
      <w:start w:val="0"/>
      <w:numFmt w:val="bullet"/>
      <w:lvlText w:val="•"/>
      <w:lvlJc w:val="left"/>
      <w:pPr>
        <w:ind w:left="3545" w:hanging="314"/>
      </w:pPr>
      <w:rPr>
        <w:rFonts w:hint="default"/>
        <w:lang w:val="en-US" w:eastAsia="en-US" w:bidi="ar-SA"/>
      </w:rPr>
    </w:lvl>
    <w:lvl w:ilvl="5">
      <w:start w:val="0"/>
      <w:numFmt w:val="bullet"/>
      <w:lvlText w:val="•"/>
      <w:lvlJc w:val="left"/>
      <w:pPr>
        <w:ind w:left="4513" w:hanging="314"/>
      </w:pPr>
      <w:rPr>
        <w:rFonts w:hint="default"/>
        <w:lang w:val="en-US" w:eastAsia="en-US" w:bidi="ar-SA"/>
      </w:rPr>
    </w:lvl>
    <w:lvl w:ilvl="6">
      <w:start w:val="0"/>
      <w:numFmt w:val="bullet"/>
      <w:lvlText w:val="•"/>
      <w:lvlJc w:val="left"/>
      <w:pPr>
        <w:ind w:left="5481" w:hanging="314"/>
      </w:pPr>
      <w:rPr>
        <w:rFonts w:hint="default"/>
        <w:lang w:val="en-US" w:eastAsia="en-US" w:bidi="ar-SA"/>
      </w:rPr>
    </w:lvl>
    <w:lvl w:ilvl="7">
      <w:start w:val="0"/>
      <w:numFmt w:val="bullet"/>
      <w:lvlText w:val="•"/>
      <w:lvlJc w:val="left"/>
      <w:pPr>
        <w:ind w:left="6450" w:hanging="314"/>
      </w:pPr>
      <w:rPr>
        <w:rFonts w:hint="default"/>
        <w:lang w:val="en-US" w:eastAsia="en-US" w:bidi="ar-SA"/>
      </w:rPr>
    </w:lvl>
    <w:lvl w:ilvl="8">
      <w:start w:val="0"/>
      <w:numFmt w:val="bullet"/>
      <w:lvlText w:val="•"/>
      <w:lvlJc w:val="left"/>
      <w:pPr>
        <w:ind w:left="7418" w:hanging="314"/>
      </w:pPr>
      <w:rPr>
        <w:rFonts w:hint="default"/>
        <w:lang w:val="en-US" w:eastAsia="en-US" w:bidi="ar-SA"/>
      </w:rPr>
    </w:lvl>
  </w:abstractNum>
  <w:abstractNum w:abstractNumId="10">
    <w:multiLevelType w:val="hybridMultilevel"/>
    <w:lvl w:ilvl="0">
      <w:start w:val="5"/>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2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716" w:hanging="540"/>
      </w:pPr>
      <w:rPr>
        <w:rFonts w:hint="default"/>
        <w:lang w:val="en-US" w:eastAsia="en-US" w:bidi="ar-SA"/>
      </w:rPr>
    </w:lvl>
    <w:lvl w:ilvl="4">
      <w:start w:val="0"/>
      <w:numFmt w:val="bullet"/>
      <w:lvlText w:val="•"/>
      <w:lvlJc w:val="left"/>
      <w:pPr>
        <w:ind w:left="3665" w:hanging="540"/>
      </w:pPr>
      <w:rPr>
        <w:rFonts w:hint="default"/>
        <w:lang w:val="en-US" w:eastAsia="en-US" w:bidi="ar-SA"/>
      </w:rPr>
    </w:lvl>
    <w:lvl w:ilvl="5">
      <w:start w:val="0"/>
      <w:numFmt w:val="bullet"/>
      <w:lvlText w:val="•"/>
      <w:lvlJc w:val="left"/>
      <w:pPr>
        <w:ind w:left="4613" w:hanging="540"/>
      </w:pPr>
      <w:rPr>
        <w:rFonts w:hint="default"/>
        <w:lang w:val="en-US" w:eastAsia="en-US" w:bidi="ar-SA"/>
      </w:rPr>
    </w:lvl>
    <w:lvl w:ilvl="6">
      <w:start w:val="0"/>
      <w:numFmt w:val="bullet"/>
      <w:lvlText w:val="•"/>
      <w:lvlJc w:val="left"/>
      <w:pPr>
        <w:ind w:left="5561" w:hanging="540"/>
      </w:pPr>
      <w:rPr>
        <w:rFonts w:hint="default"/>
        <w:lang w:val="en-US" w:eastAsia="en-US" w:bidi="ar-SA"/>
      </w:rPr>
    </w:lvl>
    <w:lvl w:ilvl="7">
      <w:start w:val="0"/>
      <w:numFmt w:val="bullet"/>
      <w:lvlText w:val="•"/>
      <w:lvlJc w:val="left"/>
      <w:pPr>
        <w:ind w:left="6510" w:hanging="540"/>
      </w:pPr>
      <w:rPr>
        <w:rFonts w:hint="default"/>
        <w:lang w:val="en-US" w:eastAsia="en-US" w:bidi="ar-SA"/>
      </w:rPr>
    </w:lvl>
    <w:lvl w:ilvl="8">
      <w:start w:val="0"/>
      <w:numFmt w:val="bullet"/>
      <w:lvlText w:val="•"/>
      <w:lvlJc w:val="left"/>
      <w:pPr>
        <w:ind w:left="7458" w:hanging="540"/>
      </w:pPr>
      <w:rPr>
        <w:rFonts w:hint="default"/>
        <w:lang w:val="en-US" w:eastAsia="en-US" w:bidi="ar-SA"/>
      </w:rPr>
    </w:lvl>
  </w:abstractNum>
  <w:abstractNum w:abstractNumId="9">
    <w:multiLevelType w:val="hybridMultilevel"/>
    <w:lvl w:ilvl="0">
      <w:start w:val="4"/>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2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716" w:hanging="540"/>
      </w:pPr>
      <w:rPr>
        <w:rFonts w:hint="default"/>
        <w:lang w:val="en-US" w:eastAsia="en-US" w:bidi="ar-SA"/>
      </w:rPr>
    </w:lvl>
    <w:lvl w:ilvl="4">
      <w:start w:val="0"/>
      <w:numFmt w:val="bullet"/>
      <w:lvlText w:val="•"/>
      <w:lvlJc w:val="left"/>
      <w:pPr>
        <w:ind w:left="3665" w:hanging="540"/>
      </w:pPr>
      <w:rPr>
        <w:rFonts w:hint="default"/>
        <w:lang w:val="en-US" w:eastAsia="en-US" w:bidi="ar-SA"/>
      </w:rPr>
    </w:lvl>
    <w:lvl w:ilvl="5">
      <w:start w:val="0"/>
      <w:numFmt w:val="bullet"/>
      <w:lvlText w:val="•"/>
      <w:lvlJc w:val="left"/>
      <w:pPr>
        <w:ind w:left="4613" w:hanging="540"/>
      </w:pPr>
      <w:rPr>
        <w:rFonts w:hint="default"/>
        <w:lang w:val="en-US" w:eastAsia="en-US" w:bidi="ar-SA"/>
      </w:rPr>
    </w:lvl>
    <w:lvl w:ilvl="6">
      <w:start w:val="0"/>
      <w:numFmt w:val="bullet"/>
      <w:lvlText w:val="•"/>
      <w:lvlJc w:val="left"/>
      <w:pPr>
        <w:ind w:left="5561" w:hanging="540"/>
      </w:pPr>
      <w:rPr>
        <w:rFonts w:hint="default"/>
        <w:lang w:val="en-US" w:eastAsia="en-US" w:bidi="ar-SA"/>
      </w:rPr>
    </w:lvl>
    <w:lvl w:ilvl="7">
      <w:start w:val="0"/>
      <w:numFmt w:val="bullet"/>
      <w:lvlText w:val="•"/>
      <w:lvlJc w:val="left"/>
      <w:pPr>
        <w:ind w:left="6510" w:hanging="540"/>
      </w:pPr>
      <w:rPr>
        <w:rFonts w:hint="default"/>
        <w:lang w:val="en-US" w:eastAsia="en-US" w:bidi="ar-SA"/>
      </w:rPr>
    </w:lvl>
    <w:lvl w:ilvl="8">
      <w:start w:val="0"/>
      <w:numFmt w:val="bullet"/>
      <w:lvlText w:val="•"/>
      <w:lvlJc w:val="left"/>
      <w:pPr>
        <w:ind w:left="7458" w:hanging="540"/>
      </w:pPr>
      <w:rPr>
        <w:rFonts w:hint="default"/>
        <w:lang w:val="en-US" w:eastAsia="en-US" w:bidi="ar-SA"/>
      </w:rPr>
    </w:lvl>
  </w:abstractNum>
  <w:abstractNum w:abstractNumId="8">
    <w:multiLevelType w:val="hybridMultilevel"/>
    <w:lvl w:ilvl="0">
      <w:start w:val="3"/>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2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716" w:hanging="540"/>
      </w:pPr>
      <w:rPr>
        <w:rFonts w:hint="default"/>
        <w:lang w:val="en-US" w:eastAsia="en-US" w:bidi="ar-SA"/>
      </w:rPr>
    </w:lvl>
    <w:lvl w:ilvl="4">
      <w:start w:val="0"/>
      <w:numFmt w:val="bullet"/>
      <w:lvlText w:val="•"/>
      <w:lvlJc w:val="left"/>
      <w:pPr>
        <w:ind w:left="3665" w:hanging="540"/>
      </w:pPr>
      <w:rPr>
        <w:rFonts w:hint="default"/>
        <w:lang w:val="en-US" w:eastAsia="en-US" w:bidi="ar-SA"/>
      </w:rPr>
    </w:lvl>
    <w:lvl w:ilvl="5">
      <w:start w:val="0"/>
      <w:numFmt w:val="bullet"/>
      <w:lvlText w:val="•"/>
      <w:lvlJc w:val="left"/>
      <w:pPr>
        <w:ind w:left="4613" w:hanging="540"/>
      </w:pPr>
      <w:rPr>
        <w:rFonts w:hint="default"/>
        <w:lang w:val="en-US" w:eastAsia="en-US" w:bidi="ar-SA"/>
      </w:rPr>
    </w:lvl>
    <w:lvl w:ilvl="6">
      <w:start w:val="0"/>
      <w:numFmt w:val="bullet"/>
      <w:lvlText w:val="•"/>
      <w:lvlJc w:val="left"/>
      <w:pPr>
        <w:ind w:left="5561" w:hanging="540"/>
      </w:pPr>
      <w:rPr>
        <w:rFonts w:hint="default"/>
        <w:lang w:val="en-US" w:eastAsia="en-US" w:bidi="ar-SA"/>
      </w:rPr>
    </w:lvl>
    <w:lvl w:ilvl="7">
      <w:start w:val="0"/>
      <w:numFmt w:val="bullet"/>
      <w:lvlText w:val="•"/>
      <w:lvlJc w:val="left"/>
      <w:pPr>
        <w:ind w:left="6510" w:hanging="540"/>
      </w:pPr>
      <w:rPr>
        <w:rFonts w:hint="default"/>
        <w:lang w:val="en-US" w:eastAsia="en-US" w:bidi="ar-SA"/>
      </w:rPr>
    </w:lvl>
    <w:lvl w:ilvl="8">
      <w:start w:val="0"/>
      <w:numFmt w:val="bullet"/>
      <w:lvlText w:val="•"/>
      <w:lvlJc w:val="left"/>
      <w:pPr>
        <w:ind w:left="7458" w:hanging="540"/>
      </w:pPr>
      <w:rPr>
        <w:rFonts w:hint="default"/>
        <w:lang w:val="en-US" w:eastAsia="en-US" w:bidi="ar-SA"/>
      </w:rPr>
    </w:lvl>
  </w:abstractNum>
  <w:abstractNum w:abstractNumId="7">
    <w:multiLevelType w:val="hybridMultilevel"/>
    <w:lvl w:ilvl="0">
      <w:start w:val="2"/>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83" w:hanging="360"/>
      </w:pPr>
      <w:rPr>
        <w:rFonts w:hint="default"/>
        <w:lang w:val="en-US" w:eastAsia="en-US" w:bidi="ar-SA"/>
      </w:rPr>
    </w:lvl>
    <w:lvl w:ilvl="3">
      <w:start w:val="0"/>
      <w:numFmt w:val="bullet"/>
      <w:lvlText w:val="•"/>
      <w:lvlJc w:val="left"/>
      <w:pPr>
        <w:ind w:left="3254" w:hanging="360"/>
      </w:pPr>
      <w:rPr>
        <w:rFonts w:hint="default"/>
        <w:lang w:val="en-US" w:eastAsia="en-US" w:bidi="ar-SA"/>
      </w:rPr>
    </w:lvl>
    <w:lvl w:ilvl="4">
      <w:start w:val="0"/>
      <w:numFmt w:val="bullet"/>
      <w:lvlText w:val="•"/>
      <w:lvlJc w:val="left"/>
      <w:pPr>
        <w:ind w:left="4126" w:hanging="360"/>
      </w:pPr>
      <w:rPr>
        <w:rFonts w:hint="default"/>
        <w:lang w:val="en-US" w:eastAsia="en-US" w:bidi="ar-SA"/>
      </w:rPr>
    </w:lvl>
    <w:lvl w:ilvl="5">
      <w:start w:val="0"/>
      <w:numFmt w:val="bullet"/>
      <w:lvlText w:val="•"/>
      <w:lvlJc w:val="left"/>
      <w:pPr>
        <w:ind w:left="4997" w:hanging="360"/>
      </w:pPr>
      <w:rPr>
        <w:rFonts w:hint="default"/>
        <w:lang w:val="en-US" w:eastAsia="en-US" w:bidi="ar-SA"/>
      </w:rPr>
    </w:lvl>
    <w:lvl w:ilvl="6">
      <w:start w:val="0"/>
      <w:numFmt w:val="bullet"/>
      <w:lvlText w:val="•"/>
      <w:lvlJc w:val="left"/>
      <w:pPr>
        <w:ind w:left="5869" w:hanging="360"/>
      </w:pPr>
      <w:rPr>
        <w:rFonts w:hint="default"/>
        <w:lang w:val="en-US" w:eastAsia="en-US" w:bidi="ar-SA"/>
      </w:rPr>
    </w:lvl>
    <w:lvl w:ilvl="7">
      <w:start w:val="0"/>
      <w:numFmt w:val="bullet"/>
      <w:lvlText w:val="•"/>
      <w:lvlJc w:val="left"/>
      <w:pPr>
        <w:ind w:left="6740" w:hanging="360"/>
      </w:pPr>
      <w:rPr>
        <w:rFonts w:hint="default"/>
        <w:lang w:val="en-US" w:eastAsia="en-US" w:bidi="ar-SA"/>
      </w:rPr>
    </w:lvl>
    <w:lvl w:ilvl="8">
      <w:start w:val="0"/>
      <w:numFmt w:val="bullet"/>
      <w:lvlText w:val="•"/>
      <w:lvlJc w:val="left"/>
      <w:pPr>
        <w:ind w:left="7612" w:hanging="360"/>
      </w:pPr>
      <w:rPr>
        <w:rFonts w:hint="default"/>
        <w:lang w:val="en-US" w:eastAsia="en-US" w:bidi="ar-SA"/>
      </w:rPr>
    </w:lvl>
  </w:abstractNum>
  <w:abstractNum w:abstractNumId="6">
    <w:multiLevelType w:val="hybridMultilevel"/>
    <w:lvl w:ilvl="0">
      <w:start w:val="1"/>
      <w:numFmt w:val="decimal"/>
      <w:lvlText w:val="%1"/>
      <w:lvlJc w:val="left"/>
      <w:pPr>
        <w:ind w:left="645" w:hanging="360"/>
        <w:jc w:val="left"/>
      </w:pPr>
      <w:rPr>
        <w:rFonts w:hint="default"/>
        <w:lang w:val="en-US" w:eastAsia="en-US" w:bidi="ar-SA"/>
      </w:rPr>
    </w:lvl>
    <w:lvl w:ilvl="1">
      <w:start w:val="1"/>
      <w:numFmt w:val="decimal"/>
      <w:lvlText w:val="%1.%2"/>
      <w:lvlJc w:val="left"/>
      <w:pPr>
        <w:ind w:left="64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83" w:hanging="360"/>
      </w:pPr>
      <w:rPr>
        <w:rFonts w:hint="default"/>
        <w:lang w:val="en-US" w:eastAsia="en-US" w:bidi="ar-SA"/>
      </w:rPr>
    </w:lvl>
    <w:lvl w:ilvl="3">
      <w:start w:val="0"/>
      <w:numFmt w:val="bullet"/>
      <w:lvlText w:val="•"/>
      <w:lvlJc w:val="left"/>
      <w:pPr>
        <w:ind w:left="3254" w:hanging="360"/>
      </w:pPr>
      <w:rPr>
        <w:rFonts w:hint="default"/>
        <w:lang w:val="en-US" w:eastAsia="en-US" w:bidi="ar-SA"/>
      </w:rPr>
    </w:lvl>
    <w:lvl w:ilvl="4">
      <w:start w:val="0"/>
      <w:numFmt w:val="bullet"/>
      <w:lvlText w:val="•"/>
      <w:lvlJc w:val="left"/>
      <w:pPr>
        <w:ind w:left="4126" w:hanging="360"/>
      </w:pPr>
      <w:rPr>
        <w:rFonts w:hint="default"/>
        <w:lang w:val="en-US" w:eastAsia="en-US" w:bidi="ar-SA"/>
      </w:rPr>
    </w:lvl>
    <w:lvl w:ilvl="5">
      <w:start w:val="0"/>
      <w:numFmt w:val="bullet"/>
      <w:lvlText w:val="•"/>
      <w:lvlJc w:val="left"/>
      <w:pPr>
        <w:ind w:left="4997" w:hanging="360"/>
      </w:pPr>
      <w:rPr>
        <w:rFonts w:hint="default"/>
        <w:lang w:val="en-US" w:eastAsia="en-US" w:bidi="ar-SA"/>
      </w:rPr>
    </w:lvl>
    <w:lvl w:ilvl="6">
      <w:start w:val="0"/>
      <w:numFmt w:val="bullet"/>
      <w:lvlText w:val="•"/>
      <w:lvlJc w:val="left"/>
      <w:pPr>
        <w:ind w:left="5869" w:hanging="360"/>
      </w:pPr>
      <w:rPr>
        <w:rFonts w:hint="default"/>
        <w:lang w:val="en-US" w:eastAsia="en-US" w:bidi="ar-SA"/>
      </w:rPr>
    </w:lvl>
    <w:lvl w:ilvl="7">
      <w:start w:val="0"/>
      <w:numFmt w:val="bullet"/>
      <w:lvlText w:val="•"/>
      <w:lvlJc w:val="left"/>
      <w:pPr>
        <w:ind w:left="6740" w:hanging="360"/>
      </w:pPr>
      <w:rPr>
        <w:rFonts w:hint="default"/>
        <w:lang w:val="en-US" w:eastAsia="en-US" w:bidi="ar-SA"/>
      </w:rPr>
    </w:lvl>
    <w:lvl w:ilvl="8">
      <w:start w:val="0"/>
      <w:numFmt w:val="bullet"/>
      <w:lvlText w:val="•"/>
      <w:lvlJc w:val="left"/>
      <w:pPr>
        <w:ind w:left="7612" w:hanging="360"/>
      </w:pPr>
      <w:rPr>
        <w:rFonts w:hint="default"/>
        <w:lang w:val="en-US" w:eastAsia="en-US" w:bidi="ar-SA"/>
      </w:rPr>
    </w:lvl>
  </w:abstractNum>
  <w:abstractNum w:abstractNumId="5">
    <w:multiLevelType w:val="hybridMultilevel"/>
    <w:lvl w:ilvl="0">
      <w:start w:val="6"/>
      <w:numFmt w:val="decimal"/>
      <w:lvlText w:val="%1"/>
      <w:lvlJc w:val="left"/>
      <w:pPr>
        <w:ind w:left="549" w:hanging="360"/>
        <w:jc w:val="left"/>
      </w:pPr>
      <w:rPr>
        <w:rFonts w:hint="default"/>
        <w:lang w:val="en-US" w:eastAsia="en-US" w:bidi="ar-SA"/>
      </w:rPr>
    </w:lvl>
    <w:lvl w:ilvl="1">
      <w:start w:val="1"/>
      <w:numFmt w:val="decimal"/>
      <w:lvlText w:val="%1.%2"/>
      <w:lvlJc w:val="left"/>
      <w:pPr>
        <w:ind w:left="54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3" w:hanging="360"/>
      </w:pPr>
      <w:rPr>
        <w:rFonts w:hint="default"/>
        <w:lang w:val="en-US" w:eastAsia="en-US" w:bidi="ar-SA"/>
      </w:rPr>
    </w:lvl>
    <w:lvl w:ilvl="3">
      <w:start w:val="0"/>
      <w:numFmt w:val="bullet"/>
      <w:lvlText w:val="•"/>
      <w:lvlJc w:val="left"/>
      <w:pPr>
        <w:ind w:left="318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4947" w:hanging="360"/>
      </w:pPr>
      <w:rPr>
        <w:rFonts w:hint="default"/>
        <w:lang w:val="en-US" w:eastAsia="en-US" w:bidi="ar-SA"/>
      </w:rPr>
    </w:lvl>
    <w:lvl w:ilvl="6">
      <w:start w:val="0"/>
      <w:numFmt w:val="bullet"/>
      <w:lvlText w:val="•"/>
      <w:lvlJc w:val="left"/>
      <w:pPr>
        <w:ind w:left="5829" w:hanging="360"/>
      </w:pPr>
      <w:rPr>
        <w:rFonts w:hint="default"/>
        <w:lang w:val="en-US" w:eastAsia="en-US" w:bidi="ar-SA"/>
      </w:rPr>
    </w:lvl>
    <w:lvl w:ilvl="7">
      <w:start w:val="0"/>
      <w:numFmt w:val="bullet"/>
      <w:lvlText w:val="•"/>
      <w:lvlJc w:val="left"/>
      <w:pPr>
        <w:ind w:left="6710" w:hanging="360"/>
      </w:pPr>
      <w:rPr>
        <w:rFonts w:hint="default"/>
        <w:lang w:val="en-US" w:eastAsia="en-US" w:bidi="ar-SA"/>
      </w:rPr>
    </w:lvl>
    <w:lvl w:ilvl="8">
      <w:start w:val="0"/>
      <w:numFmt w:val="bullet"/>
      <w:lvlText w:val="•"/>
      <w:lvlJc w:val="left"/>
      <w:pPr>
        <w:ind w:left="7592" w:hanging="360"/>
      </w:pPr>
      <w:rPr>
        <w:rFonts w:hint="default"/>
        <w:lang w:val="en-US" w:eastAsia="en-US" w:bidi="ar-SA"/>
      </w:rPr>
    </w:lvl>
  </w:abstractNum>
  <w:abstractNum w:abstractNumId="4">
    <w:multiLevelType w:val="hybridMultilevel"/>
    <w:lvl w:ilvl="0">
      <w:start w:val="5"/>
      <w:numFmt w:val="decimal"/>
      <w:lvlText w:val="%1"/>
      <w:lvlJc w:val="left"/>
      <w:pPr>
        <w:ind w:left="549" w:hanging="360"/>
        <w:jc w:val="left"/>
      </w:pPr>
      <w:rPr>
        <w:rFonts w:hint="default"/>
        <w:lang w:val="en-US" w:eastAsia="en-US" w:bidi="ar-SA"/>
      </w:rPr>
    </w:lvl>
    <w:lvl w:ilvl="1">
      <w:start w:val="1"/>
      <w:numFmt w:val="decimal"/>
      <w:lvlText w:val="%1.%2"/>
      <w:lvlJc w:val="left"/>
      <w:pPr>
        <w:ind w:left="54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3" w:hanging="360"/>
      </w:pPr>
      <w:rPr>
        <w:rFonts w:hint="default"/>
        <w:lang w:val="en-US" w:eastAsia="en-US" w:bidi="ar-SA"/>
      </w:rPr>
    </w:lvl>
    <w:lvl w:ilvl="3">
      <w:start w:val="0"/>
      <w:numFmt w:val="bullet"/>
      <w:lvlText w:val="•"/>
      <w:lvlJc w:val="left"/>
      <w:pPr>
        <w:ind w:left="318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4947" w:hanging="360"/>
      </w:pPr>
      <w:rPr>
        <w:rFonts w:hint="default"/>
        <w:lang w:val="en-US" w:eastAsia="en-US" w:bidi="ar-SA"/>
      </w:rPr>
    </w:lvl>
    <w:lvl w:ilvl="6">
      <w:start w:val="0"/>
      <w:numFmt w:val="bullet"/>
      <w:lvlText w:val="•"/>
      <w:lvlJc w:val="left"/>
      <w:pPr>
        <w:ind w:left="5829" w:hanging="360"/>
      </w:pPr>
      <w:rPr>
        <w:rFonts w:hint="default"/>
        <w:lang w:val="en-US" w:eastAsia="en-US" w:bidi="ar-SA"/>
      </w:rPr>
    </w:lvl>
    <w:lvl w:ilvl="7">
      <w:start w:val="0"/>
      <w:numFmt w:val="bullet"/>
      <w:lvlText w:val="•"/>
      <w:lvlJc w:val="left"/>
      <w:pPr>
        <w:ind w:left="6710" w:hanging="360"/>
      </w:pPr>
      <w:rPr>
        <w:rFonts w:hint="default"/>
        <w:lang w:val="en-US" w:eastAsia="en-US" w:bidi="ar-SA"/>
      </w:rPr>
    </w:lvl>
    <w:lvl w:ilvl="8">
      <w:start w:val="0"/>
      <w:numFmt w:val="bullet"/>
      <w:lvlText w:val="•"/>
      <w:lvlJc w:val="left"/>
      <w:pPr>
        <w:ind w:left="7592" w:hanging="360"/>
      </w:pPr>
      <w:rPr>
        <w:rFonts w:hint="default"/>
        <w:lang w:val="en-US" w:eastAsia="en-US" w:bidi="ar-SA"/>
      </w:rPr>
    </w:lvl>
  </w:abstractNum>
  <w:abstractNum w:abstractNumId="3">
    <w:multiLevelType w:val="hybridMultilevel"/>
    <w:lvl w:ilvl="0">
      <w:start w:val="4"/>
      <w:numFmt w:val="decimal"/>
      <w:lvlText w:val="%1"/>
      <w:lvlJc w:val="left"/>
      <w:pPr>
        <w:ind w:left="549" w:hanging="360"/>
        <w:jc w:val="left"/>
      </w:pPr>
      <w:rPr>
        <w:rFonts w:hint="default"/>
        <w:lang w:val="en-US" w:eastAsia="en-US" w:bidi="ar-SA"/>
      </w:rPr>
    </w:lvl>
    <w:lvl w:ilvl="1">
      <w:start w:val="1"/>
      <w:numFmt w:val="decimal"/>
      <w:lvlText w:val="%1.%2"/>
      <w:lvlJc w:val="left"/>
      <w:pPr>
        <w:ind w:left="54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3" w:hanging="360"/>
      </w:pPr>
      <w:rPr>
        <w:rFonts w:hint="default"/>
        <w:lang w:val="en-US" w:eastAsia="en-US" w:bidi="ar-SA"/>
      </w:rPr>
    </w:lvl>
    <w:lvl w:ilvl="3">
      <w:start w:val="0"/>
      <w:numFmt w:val="bullet"/>
      <w:lvlText w:val="•"/>
      <w:lvlJc w:val="left"/>
      <w:pPr>
        <w:ind w:left="318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4947" w:hanging="360"/>
      </w:pPr>
      <w:rPr>
        <w:rFonts w:hint="default"/>
        <w:lang w:val="en-US" w:eastAsia="en-US" w:bidi="ar-SA"/>
      </w:rPr>
    </w:lvl>
    <w:lvl w:ilvl="6">
      <w:start w:val="0"/>
      <w:numFmt w:val="bullet"/>
      <w:lvlText w:val="•"/>
      <w:lvlJc w:val="left"/>
      <w:pPr>
        <w:ind w:left="5829" w:hanging="360"/>
      </w:pPr>
      <w:rPr>
        <w:rFonts w:hint="default"/>
        <w:lang w:val="en-US" w:eastAsia="en-US" w:bidi="ar-SA"/>
      </w:rPr>
    </w:lvl>
    <w:lvl w:ilvl="7">
      <w:start w:val="0"/>
      <w:numFmt w:val="bullet"/>
      <w:lvlText w:val="•"/>
      <w:lvlJc w:val="left"/>
      <w:pPr>
        <w:ind w:left="6710" w:hanging="360"/>
      </w:pPr>
      <w:rPr>
        <w:rFonts w:hint="default"/>
        <w:lang w:val="en-US" w:eastAsia="en-US" w:bidi="ar-SA"/>
      </w:rPr>
    </w:lvl>
    <w:lvl w:ilvl="8">
      <w:start w:val="0"/>
      <w:numFmt w:val="bullet"/>
      <w:lvlText w:val="•"/>
      <w:lvlJc w:val="left"/>
      <w:pPr>
        <w:ind w:left="7592" w:hanging="360"/>
      </w:pPr>
      <w:rPr>
        <w:rFonts w:hint="default"/>
        <w:lang w:val="en-US" w:eastAsia="en-US" w:bidi="ar-SA"/>
      </w:rPr>
    </w:lvl>
  </w:abstractNum>
  <w:abstractNum w:abstractNumId="2">
    <w:multiLevelType w:val="hybridMultilevel"/>
    <w:lvl w:ilvl="0">
      <w:start w:val="3"/>
      <w:numFmt w:val="decimal"/>
      <w:lvlText w:val="%1"/>
      <w:lvlJc w:val="left"/>
      <w:pPr>
        <w:ind w:left="549" w:hanging="360"/>
        <w:jc w:val="left"/>
      </w:pPr>
      <w:rPr>
        <w:rFonts w:hint="default"/>
        <w:lang w:val="en-US" w:eastAsia="en-US" w:bidi="ar-SA"/>
      </w:rPr>
    </w:lvl>
    <w:lvl w:ilvl="1">
      <w:start w:val="1"/>
      <w:numFmt w:val="decimal"/>
      <w:lvlText w:val="%1.%2"/>
      <w:lvlJc w:val="left"/>
      <w:pPr>
        <w:ind w:left="54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3" w:hanging="360"/>
      </w:pPr>
      <w:rPr>
        <w:rFonts w:hint="default"/>
        <w:lang w:val="en-US" w:eastAsia="en-US" w:bidi="ar-SA"/>
      </w:rPr>
    </w:lvl>
    <w:lvl w:ilvl="3">
      <w:start w:val="0"/>
      <w:numFmt w:val="bullet"/>
      <w:lvlText w:val="•"/>
      <w:lvlJc w:val="left"/>
      <w:pPr>
        <w:ind w:left="318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4947" w:hanging="360"/>
      </w:pPr>
      <w:rPr>
        <w:rFonts w:hint="default"/>
        <w:lang w:val="en-US" w:eastAsia="en-US" w:bidi="ar-SA"/>
      </w:rPr>
    </w:lvl>
    <w:lvl w:ilvl="6">
      <w:start w:val="0"/>
      <w:numFmt w:val="bullet"/>
      <w:lvlText w:val="•"/>
      <w:lvlJc w:val="left"/>
      <w:pPr>
        <w:ind w:left="5829" w:hanging="360"/>
      </w:pPr>
      <w:rPr>
        <w:rFonts w:hint="default"/>
        <w:lang w:val="en-US" w:eastAsia="en-US" w:bidi="ar-SA"/>
      </w:rPr>
    </w:lvl>
    <w:lvl w:ilvl="7">
      <w:start w:val="0"/>
      <w:numFmt w:val="bullet"/>
      <w:lvlText w:val="•"/>
      <w:lvlJc w:val="left"/>
      <w:pPr>
        <w:ind w:left="6710" w:hanging="360"/>
      </w:pPr>
      <w:rPr>
        <w:rFonts w:hint="default"/>
        <w:lang w:val="en-US" w:eastAsia="en-US" w:bidi="ar-SA"/>
      </w:rPr>
    </w:lvl>
    <w:lvl w:ilvl="8">
      <w:start w:val="0"/>
      <w:numFmt w:val="bullet"/>
      <w:lvlText w:val="•"/>
      <w:lvlJc w:val="left"/>
      <w:pPr>
        <w:ind w:left="7592" w:hanging="360"/>
      </w:pPr>
      <w:rPr>
        <w:rFonts w:hint="default"/>
        <w:lang w:val="en-US" w:eastAsia="en-US" w:bidi="ar-SA"/>
      </w:rPr>
    </w:lvl>
  </w:abstractNum>
  <w:abstractNum w:abstractNumId="1">
    <w:multiLevelType w:val="hybridMultilevel"/>
    <w:lvl w:ilvl="0">
      <w:start w:val="2"/>
      <w:numFmt w:val="decimal"/>
      <w:lvlText w:val="%1"/>
      <w:lvlJc w:val="left"/>
      <w:pPr>
        <w:ind w:left="549" w:hanging="360"/>
        <w:jc w:val="left"/>
      </w:pPr>
      <w:rPr>
        <w:rFonts w:hint="default"/>
        <w:lang w:val="en-US" w:eastAsia="en-US" w:bidi="ar-SA"/>
      </w:rPr>
    </w:lvl>
    <w:lvl w:ilvl="1">
      <w:start w:val="1"/>
      <w:numFmt w:val="decimal"/>
      <w:lvlText w:val="%1.%2"/>
      <w:lvlJc w:val="left"/>
      <w:pPr>
        <w:ind w:left="54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3" w:hanging="360"/>
      </w:pPr>
      <w:rPr>
        <w:rFonts w:hint="default"/>
        <w:lang w:val="en-US" w:eastAsia="en-US" w:bidi="ar-SA"/>
      </w:rPr>
    </w:lvl>
    <w:lvl w:ilvl="3">
      <w:start w:val="0"/>
      <w:numFmt w:val="bullet"/>
      <w:lvlText w:val="•"/>
      <w:lvlJc w:val="left"/>
      <w:pPr>
        <w:ind w:left="318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4947" w:hanging="360"/>
      </w:pPr>
      <w:rPr>
        <w:rFonts w:hint="default"/>
        <w:lang w:val="en-US" w:eastAsia="en-US" w:bidi="ar-SA"/>
      </w:rPr>
    </w:lvl>
    <w:lvl w:ilvl="6">
      <w:start w:val="0"/>
      <w:numFmt w:val="bullet"/>
      <w:lvlText w:val="•"/>
      <w:lvlJc w:val="left"/>
      <w:pPr>
        <w:ind w:left="5829" w:hanging="360"/>
      </w:pPr>
      <w:rPr>
        <w:rFonts w:hint="default"/>
        <w:lang w:val="en-US" w:eastAsia="en-US" w:bidi="ar-SA"/>
      </w:rPr>
    </w:lvl>
    <w:lvl w:ilvl="7">
      <w:start w:val="0"/>
      <w:numFmt w:val="bullet"/>
      <w:lvlText w:val="•"/>
      <w:lvlJc w:val="left"/>
      <w:pPr>
        <w:ind w:left="6710" w:hanging="360"/>
      </w:pPr>
      <w:rPr>
        <w:rFonts w:hint="default"/>
        <w:lang w:val="en-US" w:eastAsia="en-US" w:bidi="ar-SA"/>
      </w:rPr>
    </w:lvl>
    <w:lvl w:ilvl="8">
      <w:start w:val="0"/>
      <w:numFmt w:val="bullet"/>
      <w:lvlText w:val="•"/>
      <w:lvlJc w:val="left"/>
      <w:pPr>
        <w:ind w:left="7592" w:hanging="360"/>
      </w:pPr>
      <w:rPr>
        <w:rFonts w:hint="default"/>
        <w:lang w:val="en-US" w:eastAsia="en-US" w:bidi="ar-SA"/>
      </w:rPr>
    </w:lvl>
  </w:abstractNum>
  <w:abstractNum w:abstractNumId="0">
    <w:multiLevelType w:val="hybridMultilevel"/>
    <w:lvl w:ilvl="0">
      <w:start w:val="1"/>
      <w:numFmt w:val="decimal"/>
      <w:lvlText w:val="%1"/>
      <w:lvlJc w:val="left"/>
      <w:pPr>
        <w:ind w:left="549" w:hanging="360"/>
        <w:jc w:val="left"/>
      </w:pPr>
      <w:rPr>
        <w:rFonts w:hint="default"/>
        <w:lang w:val="en-US" w:eastAsia="en-US" w:bidi="ar-SA"/>
      </w:rPr>
    </w:lvl>
    <w:lvl w:ilvl="1">
      <w:start w:val="1"/>
      <w:numFmt w:val="decimal"/>
      <w:lvlText w:val="%1.%2"/>
      <w:lvlJc w:val="left"/>
      <w:pPr>
        <w:ind w:left="54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3" w:hanging="360"/>
      </w:pPr>
      <w:rPr>
        <w:rFonts w:hint="default"/>
        <w:lang w:val="en-US" w:eastAsia="en-US" w:bidi="ar-SA"/>
      </w:rPr>
    </w:lvl>
    <w:lvl w:ilvl="3">
      <w:start w:val="0"/>
      <w:numFmt w:val="bullet"/>
      <w:lvlText w:val="•"/>
      <w:lvlJc w:val="left"/>
      <w:pPr>
        <w:ind w:left="3184" w:hanging="360"/>
      </w:pPr>
      <w:rPr>
        <w:rFonts w:hint="default"/>
        <w:lang w:val="en-US" w:eastAsia="en-US" w:bidi="ar-SA"/>
      </w:rPr>
    </w:lvl>
    <w:lvl w:ilvl="4">
      <w:start w:val="0"/>
      <w:numFmt w:val="bullet"/>
      <w:lvlText w:val="•"/>
      <w:lvlJc w:val="left"/>
      <w:pPr>
        <w:ind w:left="4066" w:hanging="360"/>
      </w:pPr>
      <w:rPr>
        <w:rFonts w:hint="default"/>
        <w:lang w:val="en-US" w:eastAsia="en-US" w:bidi="ar-SA"/>
      </w:rPr>
    </w:lvl>
    <w:lvl w:ilvl="5">
      <w:start w:val="0"/>
      <w:numFmt w:val="bullet"/>
      <w:lvlText w:val="•"/>
      <w:lvlJc w:val="left"/>
      <w:pPr>
        <w:ind w:left="4947" w:hanging="360"/>
      </w:pPr>
      <w:rPr>
        <w:rFonts w:hint="default"/>
        <w:lang w:val="en-US" w:eastAsia="en-US" w:bidi="ar-SA"/>
      </w:rPr>
    </w:lvl>
    <w:lvl w:ilvl="6">
      <w:start w:val="0"/>
      <w:numFmt w:val="bullet"/>
      <w:lvlText w:val="•"/>
      <w:lvlJc w:val="left"/>
      <w:pPr>
        <w:ind w:left="5829" w:hanging="360"/>
      </w:pPr>
      <w:rPr>
        <w:rFonts w:hint="default"/>
        <w:lang w:val="en-US" w:eastAsia="en-US" w:bidi="ar-SA"/>
      </w:rPr>
    </w:lvl>
    <w:lvl w:ilvl="7">
      <w:start w:val="0"/>
      <w:numFmt w:val="bullet"/>
      <w:lvlText w:val="•"/>
      <w:lvlJc w:val="left"/>
      <w:pPr>
        <w:ind w:left="6710" w:hanging="360"/>
      </w:pPr>
      <w:rPr>
        <w:rFonts w:hint="default"/>
        <w:lang w:val="en-US" w:eastAsia="en-US" w:bidi="ar-SA"/>
      </w:rPr>
    </w:lvl>
    <w:lvl w:ilvl="8">
      <w:start w:val="0"/>
      <w:numFmt w:val="bullet"/>
      <w:lvlText w:val="•"/>
      <w:lvlJc w:val="left"/>
      <w:pPr>
        <w:ind w:left="7592"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64"/>
      <w:ind w:left="189"/>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64"/>
      <w:ind w:left="549"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645" w:hanging="360"/>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827" w:hanging="3430"/>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164"/>
      <w:ind w:left="54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Report 2025-26</dc:creator>
  <dc:subject>(unspecified)</dc:subject>
  <dc:title>MACEA — Multi-Agent Circular Economy Auditor</dc:title>
  <dcterms:created xsi:type="dcterms:W3CDTF">2026-06-15T06:13:54Z</dcterms:created>
  <dcterms:modified xsi:type="dcterms:W3CDTF">2026-06-15T06:13:54Z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(unspecified)</vt:lpwstr>
  </property>
  <property fmtid="{D5CDD505-2E9C-101B-9397-08002B2CF9AE}" pid="5" name="LastSaved">
    <vt:filetime>2026-06-15T00:00:00Z</vt:filetime>
  </property>
  <property fmtid="{D5CDD505-2E9C-101B-9397-08002B2CF9AE}" pid="6" name="Producer">
    <vt:lpwstr>ReportLab PDF Library - (opensource)</vt:lpwstr>
  </property>
</Properties>
</file>