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34"/>
          <w:szCs w:val="34"/>
        </w:rPr>
        <w:t xml:space="preserve">Unified Data Model</w:t>
      </w:r>
    </w:p>
    <w:p>
      <w:pPr>
        <w:pBdr>
          <w:bottom w:val="single" w:color="1F3864" w:sz="6" w:space="4"/>
        </w:pBdr>
        <w:spacing w:after="120"/>
      </w:pPr>
      <w:r>
        <w:rPr>
          <w:color w:val="595959"/>
          <w:sz w:val="22"/>
          <w:szCs w:val="22"/>
        </w:rPr>
        <w:t xml:space="preserve">Architecture Overview</w:t>
      </w:r>
    </w:p>
    <w:p>
      <w:pPr>
        <w:pStyle w:val="Heading2"/>
        <w:spacing w:after="60" w:before="140"/>
      </w:pPr>
      <w:r>
        <w:rPr>
          <w:b/>
          <w:bCs/>
          <w:color w:val="1F3864"/>
          <w:sz w:val="23"/>
          <w:szCs w:val="23"/>
        </w:rPr>
        <w:t xml:space="preserve">Purpose</w:t>
      </w:r>
    </w:p>
    <w:p>
      <w:pPr>
        <w:spacing w:after="60"/>
      </w:pPr>
      <w:r>
        <w:rPr>
          <w:sz w:val="20"/>
          <w:szCs w:val="20"/>
        </w:rPr>
        <w:t xml:space="preserve">The Unified Data Model is a single, conformed layer in which data from all source systems is standardized into a shared fact-and-dimension structure. Rather than each source retaining its own structure and definitions, all data is mapped to a common set of facts and dimensions, giving the organization one consistent, governed view of the business.</w:t>
      </w:r>
    </w:p>
    <w:p>
      <w:pPr>
        <w:pBdr>
          <w:top w:val="single" w:color="D0D7E5" w:sz="4"/>
          <w:bottom w:val="single" w:color="D0D7E5" w:sz="4"/>
          <w:left w:val="single" w:color="D0D7E5" w:sz="4"/>
          <w:right w:val="single" w:color="D0D7E5" w:sz="4"/>
        </w:pBdr>
        <w:shd w:fill="F2F5FA" w:val="clear"/>
        <w:spacing w:after="120" w:before="40"/>
        <w:jc w:val="center"/>
      </w:pPr>
      <w:r>
        <w:rPr>
          <w:b/>
          <w:bCs/>
          <w:color w:val="1F3864"/>
          <w:sz w:val="19"/>
          <w:szCs w:val="19"/>
        </w:rPr>
        <w:t xml:space="preserve">Append-Only Bronze</w:t>
      </w:r>
      <w:r>
        <w:rPr>
          <w:color w:val="595959"/>
          <w:sz w:val="19"/>
          <w:szCs w:val="19"/>
        </w:rPr>
        <w:t xml:space="preserve">  →  </w:t>
      </w:r>
      <w:r>
        <w:rPr>
          <w:b/>
          <w:bCs/>
          <w:color w:val="1F3864"/>
          <w:sz w:val="19"/>
          <w:szCs w:val="19"/>
        </w:rPr>
        <w:t xml:space="preserve">Unified Model — Fact &amp; Dimension (events + changes)</w:t>
      </w:r>
      <w:r>
        <w:rPr>
          <w:color w:val="595959"/>
          <w:sz w:val="19"/>
          <w:szCs w:val="19"/>
        </w:rPr>
        <w:t xml:space="preserve">  →  </w:t>
      </w:r>
      <w:r>
        <w:rPr>
          <w:b/>
          <w:bCs/>
          <w:color w:val="1F3864"/>
          <w:sz w:val="19"/>
          <w:szCs w:val="19"/>
        </w:rPr>
        <w:t xml:space="preserve">Summary — Flat &amp; Wide</w:t>
      </w:r>
    </w:p>
    <w:p>
      <w:pPr>
        <w:pStyle w:val="Heading2"/>
        <w:spacing w:after="60" w:before="140"/>
      </w:pPr>
      <w:r>
        <w:rPr>
          <w:b/>
          <w:bCs/>
          <w:color w:val="1F3864"/>
          <w:sz w:val="23"/>
          <w:szCs w:val="23"/>
        </w:rPr>
        <w:t xml:space="preserve">Foundation: Append-Only Bronze</w:t>
      </w:r>
    </w:p>
    <w:p>
      <w:pPr>
        <w:spacing w:after="60"/>
      </w:pPr>
      <w:r>
        <w:rPr>
          <w:sz w:val="20"/>
          <w:szCs w:val="20"/>
        </w:rPr>
        <w:t xml:space="preserve">The model depends on a properly structured Bronze layer that is append-only. Source records land as immutable, timestamped rows; nothing is updated or overwritten. This preserves the complete history of everything arriving from source systems, which is what makes change capture, auditing, and point-in-time reconstruction possible. Without an append-only Bronze, the detailed layer cannot reliably capture movements or reproduce historical state.</w:t>
      </w:r>
    </w:p>
    <w:p>
      <w:pPr>
        <w:pStyle w:val="Heading2"/>
        <w:spacing w:after="60" w:before="140"/>
      </w:pPr>
      <w:r>
        <w:rPr>
          <w:b/>
          <w:bCs/>
          <w:color w:val="1F3864"/>
          <w:sz w:val="23"/>
          <w:szCs w:val="23"/>
        </w:rPr>
        <w:t xml:space="preserve">1. Detailed Layer — Transactional / Audit Layer (Fact &amp; Dimension)</w:t>
      </w:r>
    </w:p>
    <w:p>
      <w:pPr>
        <w:pStyle w:val="ListParagraph"/>
        <w:numPr>
          <w:ilvl w:val="0"/>
          <w:numId w:val="1"/>
        </w:numPr>
        <w:spacing w:after="40"/>
      </w:pPr>
      <w:r>
        <w:rPr>
          <w:b/>
          <w:bCs/>
          <w:sz w:val="20"/>
          <w:szCs w:val="20"/>
        </w:rPr>
        <w:t xml:space="preserve">Event grain: </w:t>
      </w:r>
      <w:r>
        <w:rPr>
          <w:sz w:val="20"/>
          <w:szCs w:val="20"/>
        </w:rPr>
        <w:t xml:space="preserve">fact tables record business events at the lowest grain of transaction, such as a claim opened or closed, an invoice issued, a sub-transaction like an invoice payment, or hours billed to a claim.</w:t>
      </w:r>
    </w:p>
    <w:p>
      <w:pPr>
        <w:pStyle w:val="ListParagraph"/>
        <w:numPr>
          <w:ilvl w:val="0"/>
          <w:numId w:val="1"/>
        </w:numPr>
        <w:spacing w:after="40"/>
      </w:pPr>
      <w:r>
        <w:rPr>
          <w:b/>
          <w:bCs/>
          <w:sz w:val="20"/>
          <w:szCs w:val="20"/>
        </w:rPr>
        <w:t xml:space="preserve">Change capture: </w:t>
      </w:r>
      <w:r>
        <w:rPr>
          <w:sz w:val="20"/>
          <w:szCs w:val="20"/>
        </w:rPr>
        <w:t xml:space="preserve">beyond recording events, the fact layer captures the movements between them. If a claim reserve is $1,000 one day and $2,000 the next, the model records the $1,000 change, not only the latest value, providing a full and auditable trail of how every figure evolved.</w:t>
      </w:r>
    </w:p>
    <w:p>
      <w:pPr>
        <w:pStyle w:val="ListParagraph"/>
        <w:numPr>
          <w:ilvl w:val="0"/>
          <w:numId w:val="1"/>
        </w:numPr>
        <w:spacing w:after="40"/>
      </w:pPr>
      <w:r>
        <w:rPr>
          <w:b/>
          <w:bCs/>
          <w:sz w:val="20"/>
          <w:szCs w:val="20"/>
        </w:rPr>
        <w:t xml:space="preserve">Dimensions: </w:t>
      </w:r>
      <w:r>
        <w:rPr>
          <w:sz w:val="20"/>
          <w:szCs w:val="20"/>
        </w:rPr>
        <w:t xml:space="preserve">conformed dimensions supply descriptive context, such as client, claim, policy, and date.</w:t>
      </w:r>
    </w:p>
    <w:p>
      <w:pPr>
        <w:pStyle w:val="ListParagraph"/>
        <w:numPr>
          <w:ilvl w:val="0"/>
          <w:numId w:val="1"/>
        </w:numPr>
        <w:spacing w:after="40"/>
      </w:pPr>
      <w:r>
        <w:rPr>
          <w:b/>
          <w:bCs/>
          <w:sz w:val="20"/>
          <w:szCs w:val="20"/>
        </w:rPr>
        <w:t xml:space="preserve">Extending the model: </w:t>
      </w:r>
      <w:r>
        <w:rPr>
          <w:sz w:val="20"/>
          <w:szCs w:val="20"/>
        </w:rPr>
        <w:t xml:space="preserve">when additional data elements are required, either:</w:t>
      </w:r>
    </w:p>
    <w:p>
      <w:pPr>
        <w:pStyle w:val="ListParagraph"/>
        <w:numPr>
          <w:ilvl w:val="1"/>
          <w:numId w:val="1"/>
        </w:numPr>
        <w:spacing w:after="40"/>
      </w:pPr>
      <w:r>
        <w:rPr>
          <w:b/>
          <w:bCs/>
          <w:sz w:val="20"/>
          <w:szCs w:val="20"/>
        </w:rPr>
        <w:t xml:space="preserve">Snowflake — </w:t>
      </w:r>
      <w:r>
        <w:rPr>
          <w:sz w:val="20"/>
          <w:szCs w:val="20"/>
        </w:rPr>
        <w:t xml:space="preserve">place the attribute in a related sub-dimension (for example, a Client table linked from the Claim dimension), or</w:t>
      </w:r>
    </w:p>
    <w:p>
      <w:pPr>
        <w:pStyle w:val="ListParagraph"/>
        <w:numPr>
          <w:ilvl w:val="1"/>
          <w:numId w:val="1"/>
        </w:numPr>
        <w:spacing w:after="40"/>
      </w:pPr>
      <w:r>
        <w:rPr>
          <w:b/>
          <w:bCs/>
          <w:sz w:val="20"/>
          <w:szCs w:val="20"/>
        </w:rPr>
        <w:t xml:space="preserve">Denormalize — </w:t>
      </w:r>
      <w:r>
        <w:rPr>
          <w:sz w:val="20"/>
          <w:szCs w:val="20"/>
        </w:rPr>
        <w:t xml:space="preserve">fold the attribute directly into the existing dimension or fact table. Snowflaking favours reuse and normalization; denormalizing favours simplicity and query performance.</w:t>
      </w:r>
    </w:p>
    <w:p>
      <w:pPr>
        <w:pStyle w:val="ListParagraph"/>
        <w:numPr>
          <w:ilvl w:val="0"/>
          <w:numId w:val="1"/>
        </w:numPr>
        <w:spacing w:after="40"/>
      </w:pPr>
      <w:r>
        <w:rPr>
          <w:b/>
          <w:bCs/>
          <w:sz w:val="20"/>
          <w:szCs w:val="20"/>
        </w:rPr>
        <w:t xml:space="preserve">Source of truth: </w:t>
      </w:r>
      <w:r>
        <w:rPr>
          <w:sz w:val="20"/>
          <w:szCs w:val="20"/>
        </w:rPr>
        <w:t xml:space="preserve">the layer holds full grain and full history, and is traceable and audit-ready.</w:t>
      </w:r>
    </w:p>
    <w:p>
      <w:pPr>
        <w:pStyle w:val="Heading2"/>
        <w:spacing w:after="60" w:before="140"/>
      </w:pPr>
      <w:r>
        <w:rPr>
          <w:b/>
          <w:bCs/>
          <w:color w:val="1F3864"/>
          <w:sz w:val="23"/>
          <w:szCs w:val="23"/>
        </w:rPr>
        <w:t xml:space="preserve">2. Anatomy of a Fact Table</w:t>
      </w:r>
    </w:p>
    <w:p>
      <w:pPr>
        <w:spacing w:after="40"/>
      </w:pPr>
      <w:r>
        <w:rPr>
          <w:sz w:val="20"/>
          <w:szCs w:val="20"/>
        </w:rPr>
        <w:t xml:space="preserve">Every row in a fact table captures a single business event and answers three key questions:</w:t>
      </w:r>
    </w:p>
    <w:p>
      <w:pPr>
        <w:pStyle w:val="ListParagraph"/>
        <w:numPr>
          <w:ilvl w:val="0"/>
          <w:numId w:val="1"/>
        </w:numPr>
        <w:spacing w:after="40"/>
      </w:pPr>
      <w:r>
        <w:rPr>
          <w:b/>
          <w:bCs/>
          <w:sz w:val="20"/>
          <w:szCs w:val="20"/>
        </w:rPr>
        <w:t xml:space="preserve">What happened: </w:t>
      </w:r>
      <w:r>
        <w:rPr>
          <w:sz w:val="20"/>
          <w:szCs w:val="20"/>
        </w:rPr>
        <w:t xml:space="preserve">the business event being recorded, identified through foreign keys to the relevant dimensions (such as claim, client, or policy) together with an event or transaction identifier. Examples include a claim opened or closed, an invoice issued, or a payment made.</w:t>
      </w:r>
    </w:p>
    <w:p>
      <w:pPr>
        <w:pStyle w:val="ListParagraph"/>
        <w:numPr>
          <w:ilvl w:val="0"/>
          <w:numId w:val="1"/>
        </w:numPr>
        <w:spacing w:after="40"/>
      </w:pPr>
      <w:r>
        <w:rPr>
          <w:b/>
          <w:bCs/>
          <w:sz w:val="20"/>
          <w:szCs w:val="20"/>
        </w:rPr>
        <w:t xml:space="preserve">When it happened: </w:t>
      </w:r>
      <w:r>
        <w:rPr>
          <w:sz w:val="20"/>
          <w:szCs w:val="20"/>
        </w:rPr>
        <w:t xml:space="preserve">the date the event occurred, held as date keys such as transaction date and effective date. These anchor every event in time and enable point-in-time analysis.</w:t>
      </w:r>
    </w:p>
    <w:p>
      <w:pPr>
        <w:pStyle w:val="ListParagraph"/>
        <w:numPr>
          <w:ilvl w:val="0"/>
          <w:numId w:val="1"/>
        </w:numPr>
        <w:spacing w:after="40"/>
      </w:pPr>
      <w:r>
        <w:rPr>
          <w:b/>
          <w:bCs/>
          <w:sz w:val="20"/>
          <w:szCs w:val="20"/>
        </w:rPr>
        <w:t xml:space="preserve">How much: </w:t>
      </w:r>
      <w:r>
        <w:rPr>
          <w:sz w:val="20"/>
          <w:szCs w:val="20"/>
        </w:rPr>
        <w:t xml:space="preserve">the numeric values associated with the event, where applicable, such as amount, paid amount, or hours billed. These additive quantities are summed and reported; where the model tracks changes, the measure records the movement between states (for example, a +$1,000 reserve adjustment) rather than only the latest value. Some events carry no amount, in which case the fact records the occurrence itself.</w:t>
      </w:r>
    </w:p>
    <w:p>
      <w:pPr>
        <w:spacing w:after="60"/>
      </w:pPr>
      <w:r>
        <w:rPr>
          <w:sz w:val="20"/>
          <w:szCs w:val="20"/>
        </w:rPr>
        <w:t xml:space="preserve">Each fact table also declares its grain (a clear statement of what one row represents) and carries audit and lineage metadata from Bronze to support traceability.</w:t>
      </w:r>
    </w:p>
    <w:p>
      <w:pPr>
        <w:pStyle w:val="Heading2"/>
        <w:spacing w:after="60" w:before="140"/>
      </w:pPr>
      <w:r>
        <w:rPr>
          <w:b/>
          <w:bCs/>
          <w:color w:val="1F3864"/>
          <w:sz w:val="23"/>
          <w:szCs w:val="23"/>
        </w:rPr>
        <w:t xml:space="preserve">3. Point-in-Time Analysis</w:t>
      </w:r>
    </w:p>
    <w:p>
      <w:pPr>
        <w:spacing w:after="60"/>
      </w:pPr>
      <w:r>
        <w:rPr>
          <w:sz w:val="20"/>
          <w:szCs w:val="20"/>
        </w:rPr>
        <w:t xml:space="preserve">Because Bronze retains every version of a record and the fact layer captures each change with its effective date, the model can reconstruct the exact state of the business as of any past date. Rather than reporting only current values, it can answer questions such as “what were total open reserves on March 31?” or “what did this claim look like the day before it closed?” This supports accurate historical reporting, period-over-period comparison, reconciliation, and regulatory or audit requirements: a report run today for a prior date returns the same figures it would have returned then. Slowly changing dimensions, which preserve the history of descriptive attributes, complement this by showing how context appeared at the time of each event.</w:t>
      </w:r>
    </w:p>
    <w:p>
      <w:pPr>
        <w:pStyle w:val="Heading2"/>
        <w:spacing w:after="60" w:before="140"/>
      </w:pPr>
      <w:r>
        <w:rPr>
          <w:b/>
          <w:bCs/>
          <w:color w:val="1F3864"/>
          <w:sz w:val="23"/>
          <w:szCs w:val="23"/>
        </w:rPr>
        <w:t xml:space="preserve">4. Summary Layer — Aggregate Version (Flat &amp; Wide)</w:t>
      </w:r>
    </w:p>
    <w:p>
      <w:pPr>
        <w:pStyle w:val="ListParagraph"/>
        <w:numPr>
          <w:ilvl w:val="0"/>
          <w:numId w:val="1"/>
        </w:numPr>
        <w:spacing w:after="40"/>
      </w:pPr>
      <w:r>
        <w:rPr>
          <w:b/>
          <w:bCs/>
          <w:sz w:val="20"/>
          <w:szCs w:val="20"/>
        </w:rPr>
        <w:t xml:space="preserve">Derived: </w:t>
      </w:r>
      <w:r>
        <w:rPr>
          <w:sz w:val="20"/>
          <w:szCs w:val="20"/>
        </w:rPr>
        <w:t xml:space="preserve">a derived, denormalized flat-and-wide table built directly from the detailed fact and dimension layer.</w:t>
      </w:r>
    </w:p>
    <w:p>
      <w:pPr>
        <w:pStyle w:val="ListParagraph"/>
        <w:numPr>
          <w:ilvl w:val="0"/>
          <w:numId w:val="1"/>
        </w:numPr>
        <w:spacing w:after="40"/>
      </w:pPr>
      <w:r>
        <w:rPr>
          <w:b/>
          <w:bCs/>
          <w:sz w:val="20"/>
          <w:szCs w:val="20"/>
        </w:rPr>
        <w:t xml:space="preserve">Optimized: </w:t>
      </w:r>
      <w:r>
        <w:rPr>
          <w:sz w:val="20"/>
          <w:szCs w:val="20"/>
        </w:rPr>
        <w:t xml:space="preserve">fact measures and dimension attributes are pre-joined and pre-aggregated for fast reporting and straightforward consumption by dashboards, BI tools, and self-serve analytics.</w:t>
      </w:r>
    </w:p>
    <w:p>
      <w:pPr>
        <w:pStyle w:val="ListParagraph"/>
        <w:numPr>
          <w:ilvl w:val="0"/>
          <w:numId w:val="1"/>
        </w:numPr>
        <w:spacing w:after="40"/>
      </w:pPr>
      <w:r>
        <w:rPr>
          <w:b/>
          <w:bCs/>
          <w:sz w:val="20"/>
          <w:szCs w:val="20"/>
        </w:rPr>
        <w:t xml:space="preserve">Traceable: </w:t>
      </w:r>
      <w:r>
        <w:rPr>
          <w:sz w:val="20"/>
          <w:szCs w:val="20"/>
        </w:rPr>
        <w:t xml:space="preserve">every value traces back to the detailed layer, which remains the single source of truth.</w:t>
      </w:r>
    </w:p>
    <w:p>
      <w:pPr>
        <w:spacing w:after="60" w:before="100"/>
      </w:pPr>
      <w:r>
        <w:rPr>
          <w:b/>
          <w:bCs/>
          <w:color w:val="1F3864"/>
          <w:sz w:val="20"/>
          <w:szCs w:val="20"/>
        </w:rPr>
        <w:t xml:space="preserve">Layer Comparison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00"/>
        <w:gridCol w:w="3970"/>
        <w:gridCol w:w="3970"/>
      </w:tblGrid>
      <w:tr>
        <w:trPr>
          <w:tblHeader/>
        </w:trPr>
        <w:tc>
          <w:tcPr>
            <w:tcW w:type="dxa" w:w="1900"/>
            <w:shd w:fill="1F3864" w:val="clear"/>
            <w:tcMar>
              <w:top w:type="dxa" w:w="50"/>
              <w:left w:type="dxa" w:w="90"/>
              <w:bottom w:type="dxa" w:w="50"/>
              <w:right w:type="dxa" w:w="90"/>
            </w:tcMar>
          </w:tcPr>
          <w:p>
            <w:r>
              <w:rPr>
                <w:b/>
                <w:bCs/>
                <w:color w:val="FFFFFF"/>
                <w:sz w:val="17"/>
                <w:szCs w:val="17"/>
              </w:rPr>
              <w:t xml:space="preserve">Aspect</w:t>
            </w:r>
          </w:p>
        </w:tc>
        <w:tc>
          <w:tcPr>
            <w:tcW w:type="dxa" w:w="3970"/>
            <w:shd w:fill="1F3864" w:val="clear"/>
            <w:tcMar>
              <w:top w:type="dxa" w:w="50"/>
              <w:left w:type="dxa" w:w="90"/>
              <w:bottom w:type="dxa" w:w="50"/>
              <w:right w:type="dxa" w:w="90"/>
            </w:tcMar>
          </w:tcPr>
          <w:p>
            <w:r>
              <w:rPr>
                <w:b/>
                <w:bCs/>
                <w:color w:val="FFFFFF"/>
                <w:sz w:val="17"/>
                <w:szCs w:val="17"/>
              </w:rPr>
              <w:t xml:space="preserve">Detailed Layer (Fact &amp; Dimension)</w:t>
            </w:r>
          </w:p>
        </w:tc>
        <w:tc>
          <w:tcPr>
            <w:tcW w:type="dxa" w:w="3970"/>
            <w:shd w:fill="1F3864" w:val="clear"/>
            <w:tcMar>
              <w:top w:type="dxa" w:w="50"/>
              <w:left w:type="dxa" w:w="90"/>
              <w:bottom w:type="dxa" w:w="50"/>
              <w:right w:type="dxa" w:w="90"/>
            </w:tcMar>
          </w:tcPr>
          <w:p>
            <w:r>
              <w:rPr>
                <w:b/>
                <w:bCs/>
                <w:color w:val="FFFFFF"/>
                <w:sz w:val="17"/>
                <w:szCs w:val="17"/>
              </w:rPr>
              <w:t xml:space="preserve">Summary Layer (Flat &amp; Wide)</w:t>
            </w:r>
          </w:p>
        </w:tc>
      </w:tr>
      <w:tr>
        <w:tc>
          <w:tcPr>
            <w:tcW w:type="dxa" w:w="1900"/>
            <w:tcMar>
              <w:top w:type="dxa" w:w="50"/>
              <w:left w:type="dxa" w:w="90"/>
              <w:bottom w:type="dxa" w:w="50"/>
              <w:right w:type="dxa" w:w="90"/>
            </w:tcMar>
          </w:tcPr>
          <w:p>
            <w:r>
              <w:rPr>
                <w:b/>
                <w:bCs/>
                <w:color w:val="1F3864"/>
                <w:sz w:val="17"/>
                <w:szCs w:val="17"/>
              </w:rPr>
              <w:t xml:space="preserve">Derivation</w:t>
            </w:r>
          </w:p>
        </w:tc>
        <w:tc>
          <w:tcPr>
            <w:tcW w:type="dxa" w:w="3970"/>
            <w:tcMar>
              <w:top w:type="dxa" w:w="50"/>
              <w:left w:type="dxa" w:w="90"/>
              <w:bottom w:type="dxa" w:w="50"/>
              <w:right w:type="dxa" w:w="90"/>
            </w:tcMar>
          </w:tcPr>
          <w:p>
            <w:r>
              <w:rPr>
                <w:b w:val="false"/>
                <w:bCs w:val="false"/>
                <w:color w:val="000000"/>
                <w:sz w:val="17"/>
                <w:szCs w:val="17"/>
              </w:rPr>
              <w:t xml:space="preserve">Built directly from append-only Bronze</w:t>
            </w:r>
          </w:p>
        </w:tc>
        <w:tc>
          <w:tcPr>
            <w:tcW w:type="dxa" w:w="3970"/>
            <w:tcMar>
              <w:top w:type="dxa" w:w="50"/>
              <w:left w:type="dxa" w:w="90"/>
              <w:bottom w:type="dxa" w:w="50"/>
              <w:right w:type="dxa" w:w="90"/>
            </w:tcMar>
          </w:tcPr>
          <w:p>
            <w:r>
              <w:rPr>
                <w:b w:val="false"/>
                <w:bCs w:val="false"/>
                <w:color w:val="000000"/>
                <w:sz w:val="17"/>
                <w:szCs w:val="17"/>
              </w:rPr>
              <w:t xml:space="preserve">Derived from the detailed fact &amp; dimension layer</w:t>
            </w:r>
          </w:p>
        </w:tc>
      </w:tr>
      <w:tr>
        <w:tc>
          <w:tcPr>
            <w:tcW w:type="dxa" w:w="1900"/>
            <w:shd w:fill="F2F5FA" w:val="clear"/>
            <w:tcMar>
              <w:top w:type="dxa" w:w="50"/>
              <w:left w:type="dxa" w:w="90"/>
              <w:bottom w:type="dxa" w:w="50"/>
              <w:right w:type="dxa" w:w="90"/>
            </w:tcMar>
          </w:tcPr>
          <w:p>
            <w:r>
              <w:rPr>
                <w:b/>
                <w:bCs/>
                <w:color w:val="1F3864"/>
                <w:sz w:val="17"/>
                <w:szCs w:val="17"/>
              </w:rPr>
              <w:t xml:space="preserve">Grain</w:t>
            </w:r>
          </w:p>
        </w:tc>
        <w:tc>
          <w:tcPr>
            <w:tcW w:type="dxa" w:w="3970"/>
            <w:shd w:fill="F2F5FA" w:val="clear"/>
            <w:tcMar>
              <w:top w:type="dxa" w:w="50"/>
              <w:left w:type="dxa" w:w="90"/>
              <w:bottom w:type="dxa" w:w="50"/>
              <w:right w:type="dxa" w:w="90"/>
            </w:tcMar>
          </w:tcPr>
          <w:p>
            <w:r>
              <w:rPr>
                <w:b w:val="false"/>
                <w:bCs w:val="false"/>
                <w:color w:val="000000"/>
                <w:sz w:val="17"/>
                <w:szCs w:val="17"/>
              </w:rPr>
              <w:t xml:space="preserve">Lowest transaction plus change deltas</w:t>
            </w:r>
          </w:p>
        </w:tc>
        <w:tc>
          <w:tcPr>
            <w:tcW w:type="dxa" w:w="3970"/>
            <w:shd w:fill="F2F5FA" w:val="clear"/>
            <w:tcMar>
              <w:top w:type="dxa" w:w="50"/>
              <w:left w:type="dxa" w:w="90"/>
              <w:bottom w:type="dxa" w:w="50"/>
              <w:right w:type="dxa" w:w="90"/>
            </w:tcMar>
          </w:tcPr>
          <w:p>
            <w:r>
              <w:rPr>
                <w:b w:val="false"/>
                <w:bCs w:val="false"/>
                <w:color w:val="000000"/>
                <w:sz w:val="17"/>
                <w:szCs w:val="17"/>
              </w:rPr>
              <w:t xml:space="preserve">Aggregated / summarized</w:t>
            </w:r>
          </w:p>
        </w:tc>
      </w:tr>
      <w:tr>
        <w:tc>
          <w:tcPr>
            <w:tcW w:type="dxa" w:w="1900"/>
            <w:tcMar>
              <w:top w:type="dxa" w:w="50"/>
              <w:left w:type="dxa" w:w="90"/>
              <w:bottom w:type="dxa" w:w="50"/>
              <w:right w:type="dxa" w:w="90"/>
            </w:tcMar>
          </w:tcPr>
          <w:p>
            <w:r>
              <w:rPr>
                <w:b/>
                <w:bCs/>
                <w:color w:val="1F3864"/>
                <w:sz w:val="17"/>
                <w:szCs w:val="17"/>
              </w:rPr>
              <w:t xml:space="preserve">Structure</w:t>
            </w:r>
          </w:p>
        </w:tc>
        <w:tc>
          <w:tcPr>
            <w:tcW w:type="dxa" w:w="3970"/>
            <w:tcMar>
              <w:top w:type="dxa" w:w="50"/>
              <w:left w:type="dxa" w:w="90"/>
              <w:bottom w:type="dxa" w:w="50"/>
              <w:right w:type="dxa" w:w="90"/>
            </w:tcMar>
          </w:tcPr>
          <w:p>
            <w:r>
              <w:rPr>
                <w:b w:val="false"/>
                <w:bCs w:val="false"/>
                <w:color w:val="000000"/>
                <w:sz w:val="17"/>
                <w:szCs w:val="17"/>
              </w:rPr>
              <w:t xml:space="preserve">Conformed star (snowflake where needed)</w:t>
            </w:r>
          </w:p>
        </w:tc>
        <w:tc>
          <w:tcPr>
            <w:tcW w:type="dxa" w:w="3970"/>
            <w:tcMar>
              <w:top w:type="dxa" w:w="50"/>
              <w:left w:type="dxa" w:w="90"/>
              <w:bottom w:type="dxa" w:w="50"/>
              <w:right w:type="dxa" w:w="90"/>
            </w:tcMar>
          </w:tcPr>
          <w:p>
            <w:r>
              <w:rPr>
                <w:b w:val="false"/>
                <w:bCs w:val="false"/>
                <w:color w:val="000000"/>
                <w:sz w:val="17"/>
                <w:szCs w:val="17"/>
              </w:rPr>
              <w:t xml:space="preserve">Denormalized single wide table</w:t>
            </w:r>
          </w:p>
        </w:tc>
      </w:tr>
      <w:tr>
        <w:tc>
          <w:tcPr>
            <w:tcW w:type="dxa" w:w="1900"/>
            <w:shd w:fill="F2F5FA" w:val="clear"/>
            <w:tcMar>
              <w:top w:type="dxa" w:w="50"/>
              <w:left w:type="dxa" w:w="90"/>
              <w:bottom w:type="dxa" w:w="50"/>
              <w:right w:type="dxa" w:w="90"/>
            </w:tcMar>
          </w:tcPr>
          <w:p>
            <w:r>
              <w:rPr>
                <w:b/>
                <w:bCs/>
                <w:color w:val="1F3864"/>
                <w:sz w:val="17"/>
                <w:szCs w:val="17"/>
              </w:rPr>
              <w:t xml:space="preserve">Purpose</w:t>
            </w:r>
          </w:p>
        </w:tc>
        <w:tc>
          <w:tcPr>
            <w:tcW w:type="dxa" w:w="3970"/>
            <w:shd w:fill="F2F5FA" w:val="clear"/>
            <w:tcMar>
              <w:top w:type="dxa" w:w="50"/>
              <w:left w:type="dxa" w:w="90"/>
              <w:bottom w:type="dxa" w:w="50"/>
              <w:right w:type="dxa" w:w="90"/>
            </w:tcMar>
          </w:tcPr>
          <w:p>
            <w:r>
              <w:rPr>
                <w:b w:val="false"/>
                <w:bCs w:val="false"/>
                <w:color w:val="000000"/>
                <w:sz w:val="17"/>
                <w:szCs w:val="17"/>
              </w:rPr>
              <w:t xml:space="preserve">Source of truth, audit, drill-down</w:t>
            </w:r>
          </w:p>
        </w:tc>
        <w:tc>
          <w:tcPr>
            <w:tcW w:type="dxa" w:w="3970"/>
            <w:shd w:fill="F2F5FA" w:val="clear"/>
            <w:tcMar>
              <w:top w:type="dxa" w:w="50"/>
              <w:left w:type="dxa" w:w="90"/>
              <w:bottom w:type="dxa" w:w="50"/>
              <w:right w:type="dxa" w:w="90"/>
            </w:tcMar>
          </w:tcPr>
          <w:p>
            <w:r>
              <w:rPr>
                <w:b w:val="false"/>
                <w:bCs w:val="false"/>
                <w:color w:val="000000"/>
                <w:sz w:val="17"/>
                <w:szCs w:val="17"/>
              </w:rPr>
              <w:t xml:space="preserve">Fast reporting and consumption</w:t>
            </w:r>
          </w:p>
        </w:tc>
      </w:tr>
      <w:tr>
        <w:tc>
          <w:tcPr>
            <w:tcW w:type="dxa" w:w="1900"/>
            <w:tcMar>
              <w:top w:type="dxa" w:w="50"/>
              <w:left w:type="dxa" w:w="90"/>
              <w:bottom w:type="dxa" w:w="50"/>
              <w:right w:type="dxa" w:w="90"/>
            </w:tcMar>
          </w:tcPr>
          <w:p>
            <w:r>
              <w:rPr>
                <w:b/>
                <w:bCs/>
                <w:color w:val="1F3864"/>
                <w:sz w:val="17"/>
                <w:szCs w:val="17"/>
              </w:rPr>
              <w:t xml:space="preserve">Primary users</w:t>
            </w:r>
          </w:p>
        </w:tc>
        <w:tc>
          <w:tcPr>
            <w:tcW w:type="dxa" w:w="3970"/>
            <w:tcMar>
              <w:top w:type="dxa" w:w="50"/>
              <w:left w:type="dxa" w:w="90"/>
              <w:bottom w:type="dxa" w:w="50"/>
              <w:right w:type="dxa" w:w="90"/>
            </w:tcMar>
          </w:tcPr>
          <w:p>
            <w:r>
              <w:rPr>
                <w:b w:val="false"/>
                <w:bCs w:val="false"/>
                <w:color w:val="000000"/>
                <w:sz w:val="17"/>
                <w:szCs w:val="17"/>
              </w:rPr>
              <w:t xml:space="preserve">Engineers, analysts, audit</w:t>
            </w:r>
          </w:p>
        </w:tc>
        <w:tc>
          <w:tcPr>
            <w:tcW w:type="dxa" w:w="3970"/>
            <w:tcMar>
              <w:top w:type="dxa" w:w="50"/>
              <w:left w:type="dxa" w:w="90"/>
              <w:bottom w:type="dxa" w:w="50"/>
              <w:right w:type="dxa" w:w="90"/>
            </w:tcMar>
          </w:tcPr>
          <w:p>
            <w:r>
              <w:rPr>
                <w:b w:val="false"/>
                <w:bCs w:val="false"/>
                <w:color w:val="000000"/>
                <w:sz w:val="17"/>
                <w:szCs w:val="17"/>
              </w:rPr>
              <w:t xml:space="preserve">Business users, dashboards</w:t>
            </w:r>
          </w:p>
        </w:tc>
      </w:tr>
    </w:tbl>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2026-09-04T12:25:46.410Z</dcterms:created>
  <dcterms:modified xsi:type="dcterms:W3CDTF">2026-09-04T12:25:46.420Z</dcterms:modified>
</cp:coreProperties>
</file>

<file path=docProps/custom.xml><?xml version="1.0" encoding="utf-8"?>
<Properties xmlns="http://schemas.openxmlformats.org/officeDocument/2006/custom-properties" xmlns:vt="http://schemas.openxmlformats.org/officeDocument/2006/docPropsVTypes"/>
</file>