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Report</w:t>
      </w:r>
    </w:p>
    <w:p>
      <w:pPr>
        <w:pStyle w:val="Heading2"/>
      </w:pPr>
      <w:r>
        <w:t>Q4 2024 Performance Summary</w:t>
      </w:r>
    </w:p>
    <w:p>
      <w:r>
        <w:t>This report summarizes the key performance indicators and achievements for the Agentic Platform during Q4 2024.</w:t>
      </w:r>
    </w:p>
    <w:p>
      <w:pPr>
        <w:pStyle w:val="Heading2"/>
      </w:pPr>
      <w:r>
        <w:t>Key Metrics</w:t>
      </w:r>
    </w:p>
    <w:p>
      <w:r>
        <w:t>Total Files Processed: 1.2 million</w:t>
      </w:r>
    </w:p>
    <w:p>
      <w:r>
        <w:t>Average Query Latency: 85ms</w:t>
      </w:r>
    </w:p>
    <w:p>
      <w:r>
        <w:t>Search Accuracy (MRR@10): 0.82</w:t>
      </w:r>
    </w:p>
    <w:p>
      <w:r>
        <w:t>Active Tenants: 47</w:t>
      </w:r>
    </w:p>
    <w:p>
      <w:pPr>
        <w:pStyle w:val="Heading2"/>
      </w:pPr>
      <w:r>
        <w:t>Technical Achievements</w:t>
      </w:r>
    </w:p>
    <w:p>
      <w:r>
        <w:t>The hybrid search implementation combining dense vector similarity with BM25 sparse retrieval was deployed in October. This resulted in a 15% improvement in search recall.</w:t>
      </w:r>
    </w:p>
    <w:p>
      <w:pPr>
        <w:pStyle w:val="Heading2"/>
      </w:pPr>
      <w:r>
        <w:t>Revenue</w:t>
      </w:r>
    </w:p>
    <w:p>
      <w:r>
        <w:t>Q4 revenue reached 1.2M, representing a 35% quarter-over-quarter increase. Enterprise tier subscriptions grew by 40%.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