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Jerry (Jui-Chieh) Wu</w:t>
      </w:r>
    </w:p>
    <w:p w:rsidR="00000000" w:rsidDel="00000000" w:rsidP="00000000" w:rsidRDefault="00000000" w:rsidRPr="00000000" w14:paraId="00000002">
      <w:pPr>
        <w:widowControl w:val="1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Cell Phone: +4915258445694</w:t>
      </w:r>
    </w:p>
    <w:p w:rsidR="00000000" w:rsidDel="00000000" w:rsidP="00000000" w:rsidRDefault="00000000" w:rsidRPr="00000000" w14:paraId="00000003">
      <w:pPr>
        <w:widowControl w:val="1"/>
        <w:jc w:val="right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jerryjcw@gmail.com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t xml:space="preserve">LinkedIn: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Jerry 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Position: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Machine Learning Engineer / Applied Scientist / Research Engineer  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Expertise: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sz w:val="19"/>
          <w:szCs w:val="19"/>
          <w:rtl w:val="0"/>
        </w:rPr>
        <w:t xml:space="preserve">Generative models, Recommendation Algorithms, Natural Language Processing, Representation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09">
      <w:pPr>
        <w:spacing w:line="276" w:lineRule="auto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Senior Machine Learning Engineer at Meta/Facebook                                               </w:t>
        <w:tab/>
        <w:t xml:space="preserve">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September 2021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Controllable Content Generation (2023-Present):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spacing w:line="276" w:lineRule="auto"/>
        <w:ind w:left="990" w:hanging="315"/>
        <w:rPr>
          <w:rFonts w:ascii="Noto Sans Symbols" w:cs="Noto Sans Symbols" w:eastAsia="Noto Sans Symbols" w:hAnsi="Noto Sans Symbols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u w:val="single"/>
          <w:rtl w:val="0"/>
        </w:rPr>
        <w:t xml:space="preserve">Lead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a team of 8 to assure quality and relevant image / video generations, collaborated with cross-functional teams.</w:t>
      </w:r>
    </w:p>
    <w:p w:rsidR="00000000" w:rsidDel="00000000" w:rsidP="00000000" w:rsidRDefault="00000000" w:rsidRPr="00000000" w14:paraId="0000000C">
      <w:pPr>
        <w:widowControl w:val="1"/>
        <w:numPr>
          <w:ilvl w:val="1"/>
          <w:numId w:val="2"/>
        </w:numPr>
        <w:spacing w:line="276" w:lineRule="auto"/>
        <w:ind w:left="990" w:hanging="315"/>
        <w:rPr>
          <w:rFonts w:ascii="Noto Sans Symbols" w:cs="Noto Sans Symbols" w:eastAsia="Noto Sans Symbols" w:hAnsi="Noto Sans Symbols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Architected and rolled out image and video foundation model-based guardrails, creating paradigms that can improve acceptance rates by 20% and increase eligible traffic by 400%.</w:t>
      </w:r>
    </w:p>
    <w:p w:rsidR="00000000" w:rsidDel="00000000" w:rsidP="00000000" w:rsidRDefault="00000000" w:rsidRPr="00000000" w14:paraId="0000000D">
      <w:pPr>
        <w:widowControl w:val="1"/>
        <w:numPr>
          <w:ilvl w:val="1"/>
          <w:numId w:val="2"/>
        </w:numPr>
        <w:spacing w:line="276" w:lineRule="auto"/>
        <w:ind w:left="990" w:hanging="315"/>
        <w:rPr>
          <w:rFonts w:ascii="Noto Sans Symbols" w:cs="Noto Sans Symbols" w:eastAsia="Noto Sans Symbols" w:hAnsi="Noto Sans Symbols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GenAI model development, including text-to-image, virtual try-on, and image-to-video generations.</w:t>
      </w:r>
    </w:p>
    <w:p w:rsidR="00000000" w:rsidDel="00000000" w:rsidP="00000000" w:rsidRDefault="00000000" w:rsidRPr="00000000" w14:paraId="0000000E">
      <w:pPr>
        <w:widowControl w:val="1"/>
        <w:numPr>
          <w:ilvl w:val="1"/>
          <w:numId w:val="3"/>
        </w:numPr>
        <w:spacing w:line="276" w:lineRule="auto"/>
        <w:ind w:left="990" w:hanging="315"/>
        <w:rPr>
          <w:rFonts w:ascii="Noto Sans Symbols" w:cs="Noto Sans Symbols" w:eastAsia="Noto Sans Symbols" w:hAnsi="Noto Sans Symbols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Strategic planning, fine-tune LLaMA (vision instructed LLM) models with RL for image and video enhancement.</w:t>
      </w:r>
    </w:p>
    <w:p w:rsidR="00000000" w:rsidDel="00000000" w:rsidP="00000000" w:rsidRDefault="00000000" w:rsidRPr="00000000" w14:paraId="0000000F">
      <w:pPr>
        <w:widowControl w:val="1"/>
        <w:numPr>
          <w:ilvl w:val="1"/>
          <w:numId w:val="2"/>
        </w:numPr>
        <w:spacing w:line="276" w:lineRule="auto"/>
        <w:ind w:left="990" w:hanging="315"/>
        <w:rPr>
          <w:rFonts w:ascii="Noto Sans Symbols" w:cs="Noto Sans Symbols" w:eastAsia="Noto Sans Symbols" w:hAnsi="Noto Sans Symbols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Refined RL approaches to enhance GenAI model quality, leading to superior A/B test results in user engagements.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Instagram Ad Layout Optimization (2022-2023):</w:t>
      </w:r>
    </w:p>
    <w:p w:rsidR="00000000" w:rsidDel="00000000" w:rsidP="00000000" w:rsidRDefault="00000000" w:rsidRPr="00000000" w14:paraId="00000011">
      <w:pPr>
        <w:widowControl w:val="1"/>
        <w:numPr>
          <w:ilvl w:val="1"/>
          <w:numId w:val="2"/>
        </w:numPr>
        <w:spacing w:line="276" w:lineRule="auto"/>
        <w:ind w:left="990" w:hanging="315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Collaborated with the ads ranking team, deviced a contextual bandit model that dynamically optimized IG ad layouts.</w:t>
      </w:r>
    </w:p>
    <w:p w:rsidR="00000000" w:rsidDel="00000000" w:rsidP="00000000" w:rsidRDefault="00000000" w:rsidRPr="00000000" w14:paraId="00000012">
      <w:pPr>
        <w:widowControl w:val="1"/>
        <w:numPr>
          <w:ilvl w:val="1"/>
          <w:numId w:val="2"/>
        </w:numPr>
        <w:spacing w:line="276" w:lineRule="auto"/>
        <w:ind w:left="990" w:hanging="315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Conducted A/B and reverse B/A testing, achieving a 2.5% boost in metrics, a multi-ten-million-dollar revenue growth.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2"/>
        </w:numPr>
        <w:spacing w:line="276" w:lineRule="auto"/>
        <w:ind w:left="630" w:hanging="180"/>
        <w:rPr>
          <w:rFonts w:ascii="Noto Sans Symbols" w:cs="Noto Sans Symbols" w:eastAsia="Noto Sans Symbols" w:hAnsi="Noto Sans Symbols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Vibe-Signature Features (2021-2022):</w:t>
      </w:r>
    </w:p>
    <w:p w:rsidR="00000000" w:rsidDel="00000000" w:rsidP="00000000" w:rsidRDefault="00000000" w:rsidRPr="00000000" w14:paraId="00000014">
      <w:pPr>
        <w:widowControl w:val="1"/>
        <w:numPr>
          <w:ilvl w:val="1"/>
          <w:numId w:val="2"/>
        </w:numPr>
        <w:spacing w:line="276" w:lineRule="auto"/>
        <w:ind w:left="990" w:hanging="315"/>
        <w:rPr>
          <w:rFonts w:ascii="Noto Sans Symbols" w:cs="Noto Sans Symbols" w:eastAsia="Noto Sans Symbols" w:hAnsi="Noto Sans Symbols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u w:val="single"/>
          <w:rtl w:val="0"/>
        </w:rPr>
        <w:t xml:space="preserve">Led the project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collaborated with cross functional teams, developed a self-supervised learning model to encode IG image collections into a "vibe" representation for brand, celebrity, and user matching.</w:t>
      </w:r>
    </w:p>
    <w:p w:rsidR="00000000" w:rsidDel="00000000" w:rsidP="00000000" w:rsidRDefault="00000000" w:rsidRPr="00000000" w14:paraId="00000015">
      <w:pPr>
        <w:widowControl w:val="1"/>
        <w:numPr>
          <w:ilvl w:val="1"/>
          <w:numId w:val="2"/>
        </w:numPr>
        <w:spacing w:line="276" w:lineRule="auto"/>
        <w:ind w:left="990" w:hanging="315"/>
        <w:rPr>
          <w:rFonts w:ascii="Noto Sans Symbols" w:cs="Noto Sans Symbols" w:eastAsia="Noto Sans Symbols" w:hAnsi="Noto Sans Symbols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Integrated into Meta’s feature generation pipeline, demonstrating statistically significant uplift in relevance and user engagement metrics in downstream tasks.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2"/>
        </w:numPr>
        <w:spacing w:line="276" w:lineRule="auto"/>
        <w:ind w:left="630" w:hanging="180"/>
        <w:rPr>
          <w:rFonts w:ascii="Noto Sans Symbols" w:cs="Noto Sans Symbols" w:eastAsia="Noto Sans Symbols" w:hAnsi="Noto Sans Symbols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Research Projects (2023-Present)</w:t>
      </w:r>
    </w:p>
    <w:p w:rsidR="00000000" w:rsidDel="00000000" w:rsidP="00000000" w:rsidRDefault="00000000" w:rsidRPr="00000000" w14:paraId="00000017">
      <w:pPr>
        <w:widowControl w:val="1"/>
        <w:numPr>
          <w:ilvl w:val="1"/>
          <w:numId w:val="2"/>
        </w:numPr>
        <w:spacing w:line="276" w:lineRule="auto"/>
        <w:ind w:left="990" w:hanging="315"/>
        <w:rPr>
          <w:rFonts w:ascii="Noto Sans Symbols" w:cs="Noto Sans Symbols" w:eastAsia="Noto Sans Symbols" w:hAnsi="Noto Sans Symbols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u w:val="single"/>
          <w:rtl w:val="0"/>
        </w:rPr>
        <w:t xml:space="preserve">Guided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4 research interns through their projects with collaborations, of which they got [1] in submission and [2] accepted at CVPR 2024. 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2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Conducted 150+ ML and coding interviews for Meta recruiting, contributed to the company's talent acquisition. 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Senior AI Engineer at Linkedin                                                                                      </w:t>
        <w:tab/>
        <w:t xml:space="preserve">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May 2020 –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4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Fine-tuned pre-trained NLP models for web page category classification and named entity recognition.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4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Built and validated enterprise product and service datasets using graph-based techniques.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Senior Research Engineer at Zalando</w:t>
        <w:tab/>
        <w:tab/>
        <w:tab/>
        <w:tab/>
        <w:t xml:space="preserve">          </w:t>
        <w:tab/>
        <w:t xml:space="preserve">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October 2016 – April 2020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4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u w:val="single"/>
          <w:rtl w:val="0"/>
        </w:rPr>
        <w:t xml:space="preserve">Led the technical direction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of the recommendation team, pioneered the E2E DL-based recommenders to production systems.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4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Developed personalized product re-ranking models for search and browsing to boost user engagement and revenue. 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4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Developed personalized relevant [4] and complementary [3] recommenders for fashion items with +3% CTR and CVR.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4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Built an end-to-end model training and evaluation pipeline using TensorFlow and Airflow on AWS, enabling automated hyperparameter tuning. 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>
          <w:i w:val="1"/>
          <w:sz w:val="22"/>
          <w:szCs w:val="22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Staff </w:t>
      </w:r>
      <w:r w:rsidDel="00000000" w:rsidR="00000000" w:rsidRPr="00000000">
        <w:rPr>
          <w:b w:val="1"/>
          <w:sz w:val="22"/>
          <w:szCs w:val="22"/>
          <w:rtl w:val="0"/>
        </w:rPr>
        <w:t xml:space="preserve">Software Engineer at HTC</w:t>
        <w:tab/>
        <w:tab/>
        <w:tab/>
        <w:tab/>
        <w:tab/>
        <w:t xml:space="preserve">  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November 2011 – August 2016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4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Developed a deep learning-based sentiment and topic monitoring system for company forums.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4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Designed and implemented an app recommendation system using Spark MLlib and Hadoop.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4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Built the backend for HTC BlinkFeed, handling content fetching, indexing, and web frontend integration.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Senior Software Engineer at TrendMicro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   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January 2009 – October 2011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4"/>
        </w:numPr>
        <w:spacing w:line="276" w:lineRule="auto"/>
        <w:ind w:left="630" w:hanging="18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Developed an automated analysis module for tracking malicious websites, increasing threat detection by 20%.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630" w:hanging="18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a distributed domain reputation system for security threat analysis.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76" w:lineRule="auto"/>
        <w:ind w:left="630" w:hanging="18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Designed a web user browsing history graph system for detecting web-based threats using graph algorithms.</w:t>
      </w:r>
    </w:p>
    <w:p w:rsidR="00000000" w:rsidDel="00000000" w:rsidP="00000000" w:rsidRDefault="00000000" w:rsidRPr="00000000" w14:paraId="00000029">
      <w:pPr>
        <w:spacing w:line="276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Research Assistant in Network and Systems Lab</w:t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      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February 2007 – June 2008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630" w:hanging="18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Designed and evaluated a distributed algorithm for real-time video codec adaptation [5][6].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Publications:</w:t>
      </w:r>
    </w:p>
    <w:p w:rsidR="00000000" w:rsidDel="00000000" w:rsidP="00000000" w:rsidRDefault="00000000" w:rsidRPr="00000000" w14:paraId="0000002C">
      <w:pPr>
        <w:spacing w:line="276" w:lineRule="auto"/>
        <w:ind w:left="810" w:hanging="39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[1] </w:t>
      </w:r>
      <w:r w:rsidDel="00000000" w:rsidR="00000000" w:rsidRPr="00000000">
        <w:rPr>
          <w:sz w:val="18"/>
          <w:szCs w:val="18"/>
          <w:rtl w:val="0"/>
        </w:rPr>
        <w:t xml:space="preserve">H. Liu, Multiple authors,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J. C. Wu</w:t>
      </w:r>
      <w:r w:rsidDel="00000000" w:rsidR="00000000" w:rsidRPr="00000000">
        <w:rPr>
          <w:sz w:val="18"/>
          <w:szCs w:val="18"/>
          <w:rtl w:val="0"/>
        </w:rPr>
        <w:t xml:space="preserve">, S. He, T. Xiang, J. Schmidhuber, J. Pérez-Rúa, </w:t>
      </w:r>
      <w:r w:rsidDel="00000000" w:rsidR="00000000" w:rsidRPr="00000000">
        <w:rPr>
          <w:b w:val="1"/>
          <w:sz w:val="18"/>
          <w:szCs w:val="18"/>
          <w:rtl w:val="0"/>
        </w:rPr>
        <w:t xml:space="preserve">MarDini: Masked Autoregressive Diffusion for Video Generation at Scale</w:t>
      </w:r>
      <w:r w:rsidDel="00000000" w:rsidR="00000000" w:rsidRPr="00000000">
        <w:rPr>
          <w:sz w:val="18"/>
          <w:szCs w:val="18"/>
          <w:rtl w:val="0"/>
        </w:rPr>
        <w:t xml:space="preserve">, ArXiv 2410.20280</w:t>
      </w:r>
    </w:p>
    <w:p w:rsidR="00000000" w:rsidDel="00000000" w:rsidP="00000000" w:rsidRDefault="00000000" w:rsidRPr="00000000" w14:paraId="0000002D">
      <w:pPr>
        <w:spacing w:line="276" w:lineRule="auto"/>
        <w:ind w:left="810" w:hanging="39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[2]  </w:t>
      </w:r>
      <w:r w:rsidDel="00000000" w:rsidR="00000000" w:rsidRPr="00000000">
        <w:rPr>
          <w:sz w:val="18"/>
          <w:szCs w:val="18"/>
          <w:rtl w:val="0"/>
        </w:rPr>
        <w:t xml:space="preserve">J. Ren, M. Xu</w:t>
      </w:r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J. C. Wu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Z. Liu, T. Xiang, A. Toisoul, </w:t>
      </w:r>
      <w:r w:rsidDel="00000000" w:rsidR="00000000" w:rsidRPr="00000000">
        <w:rPr>
          <w:b w:val="1"/>
          <w:sz w:val="18"/>
          <w:szCs w:val="18"/>
          <w:rtl w:val="0"/>
        </w:rPr>
        <w:t xml:space="preserve">Move Anything with Layered Theme Diffusion</w:t>
      </w:r>
      <w:r w:rsidDel="00000000" w:rsidR="00000000" w:rsidRPr="00000000">
        <w:rPr>
          <w:sz w:val="18"/>
          <w:szCs w:val="18"/>
          <w:rtl w:val="0"/>
        </w:rPr>
        <w:t xml:space="preserve">, in CVPR 2024. </w:t>
      </w:r>
    </w:p>
    <w:p w:rsidR="00000000" w:rsidDel="00000000" w:rsidP="00000000" w:rsidRDefault="00000000" w:rsidRPr="00000000" w14:paraId="0000002E">
      <w:pPr>
        <w:spacing w:line="276" w:lineRule="auto"/>
        <w:ind w:left="810" w:hanging="39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[3] 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J. C. Wu</w:t>
      </w:r>
      <w:r w:rsidDel="00000000" w:rsidR="00000000" w:rsidRPr="00000000">
        <w:rPr>
          <w:sz w:val="18"/>
          <w:szCs w:val="18"/>
          <w:rtl w:val="0"/>
        </w:rPr>
        <w:t xml:space="preserve">, J. Sanchez and H. Corona,</w:t>
      </w:r>
      <w:r w:rsidDel="00000000" w:rsidR="00000000" w:rsidRPr="00000000">
        <w:rPr>
          <w:b w:val="1"/>
          <w:sz w:val="18"/>
          <w:szCs w:val="18"/>
          <w:rtl w:val="0"/>
        </w:rPr>
        <w:t xml:space="preserve"> Session-based Complementary Fashion Recommendations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FashionXRecsys, Collocated with ACM Conference on Recommender Systems</w:t>
      </w:r>
      <w:r w:rsidDel="00000000" w:rsidR="00000000" w:rsidRPr="00000000">
        <w:rPr>
          <w:sz w:val="18"/>
          <w:szCs w:val="18"/>
          <w:rtl w:val="0"/>
        </w:rPr>
        <w:t xml:space="preserve">, Copenhagen, 2019.</w:t>
      </w:r>
    </w:p>
    <w:p w:rsidR="00000000" w:rsidDel="00000000" w:rsidP="00000000" w:rsidRDefault="00000000" w:rsidRPr="00000000" w14:paraId="0000002F">
      <w:pPr>
        <w:spacing w:line="276" w:lineRule="auto"/>
        <w:ind w:left="810" w:hanging="39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[4] </w:t>
      </w:r>
      <w:r w:rsidDel="00000000" w:rsidR="00000000" w:rsidRPr="00000000">
        <w:rPr>
          <w:sz w:val="18"/>
          <w:szCs w:val="18"/>
          <w:rtl w:val="0"/>
        </w:rPr>
        <w:t xml:space="preserve"> J. Sanchez,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J. C. Wu</w:t>
      </w:r>
      <w:r w:rsidDel="00000000" w:rsidR="00000000" w:rsidRPr="00000000">
        <w:rPr>
          <w:sz w:val="18"/>
          <w:szCs w:val="18"/>
          <w:rtl w:val="0"/>
        </w:rPr>
        <w:t xml:space="preserve">, and M. Khandwawala,</w:t>
      </w:r>
      <w:r w:rsidDel="00000000" w:rsidR="00000000" w:rsidRPr="00000000">
        <w:rPr>
          <w:b w:val="1"/>
          <w:sz w:val="18"/>
          <w:szCs w:val="18"/>
          <w:rtl w:val="0"/>
        </w:rPr>
        <w:t xml:space="preserve"> Two-Stage Session-based Recommendations with Candidate Rank Embeddings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FashionXRecsys, Collocated with ACM Conference on Recommender Systems</w:t>
      </w:r>
      <w:r w:rsidDel="00000000" w:rsidR="00000000" w:rsidRPr="00000000">
        <w:rPr>
          <w:sz w:val="18"/>
          <w:szCs w:val="18"/>
          <w:rtl w:val="0"/>
        </w:rPr>
        <w:t xml:space="preserve">, Copenhagen, 2019.</w:t>
      </w:r>
    </w:p>
    <w:p w:rsidR="00000000" w:rsidDel="00000000" w:rsidP="00000000" w:rsidRDefault="00000000" w:rsidRPr="00000000" w14:paraId="00000030">
      <w:pPr>
        <w:spacing w:line="276" w:lineRule="auto"/>
        <w:ind w:left="810" w:hanging="39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[5]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J. C. Wu</w:t>
      </w:r>
      <w:r w:rsidDel="00000000" w:rsidR="00000000" w:rsidRPr="00000000">
        <w:rPr>
          <w:sz w:val="18"/>
          <w:szCs w:val="18"/>
          <w:rtl w:val="0"/>
        </w:rPr>
        <w:t xml:space="preserve">, P. Huang, J. J. Yao, Homer H. Chen, </w:t>
      </w:r>
      <w:r w:rsidDel="00000000" w:rsidR="00000000" w:rsidRPr="00000000">
        <w:rPr>
          <w:b w:val="1"/>
          <w:sz w:val="18"/>
          <w:szCs w:val="18"/>
          <w:rtl w:val="0"/>
        </w:rPr>
        <w:t xml:space="preserve">A Collaborative Transcoding Strategy for Live Broadcasting over Peer-to-Peer Networks</w:t>
      </w:r>
      <w:r w:rsidDel="00000000" w:rsidR="00000000" w:rsidRPr="00000000">
        <w:rPr>
          <w:sz w:val="18"/>
          <w:szCs w:val="18"/>
          <w:rtl w:val="0"/>
        </w:rPr>
        <w:t xml:space="preserve">, In</w:t>
      </w:r>
      <w:r w:rsidDel="00000000" w:rsidR="00000000" w:rsidRPr="00000000">
        <w:rPr>
          <w:i w:val="1"/>
          <w:sz w:val="18"/>
          <w:szCs w:val="18"/>
          <w:rtl w:val="0"/>
        </w:rPr>
        <w:t xml:space="preserve"> IEEE Transactions on Circuits and Systems for Video Technology</w:t>
      </w:r>
      <w:r w:rsidDel="00000000" w:rsidR="00000000" w:rsidRPr="00000000">
        <w:rPr>
          <w:sz w:val="18"/>
          <w:szCs w:val="18"/>
          <w:rtl w:val="0"/>
        </w:rPr>
        <w:t xml:space="preserve">, Feb, 2011 </w:t>
      </w:r>
    </w:p>
    <w:p w:rsidR="00000000" w:rsidDel="00000000" w:rsidP="00000000" w:rsidRDefault="00000000" w:rsidRPr="00000000" w14:paraId="00000031">
      <w:pPr>
        <w:spacing w:line="276" w:lineRule="auto"/>
        <w:ind w:left="810" w:hanging="39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[6]  </w:t>
      </w:r>
      <w:r w:rsidDel="00000000" w:rsidR="00000000" w:rsidRPr="00000000">
        <w:rPr>
          <w:sz w:val="18"/>
          <w:szCs w:val="18"/>
          <w:rtl w:val="0"/>
        </w:rPr>
        <w:t xml:space="preserve">M. T. Lu,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J. C. Wu</w:t>
      </w:r>
      <w:r w:rsidDel="00000000" w:rsidR="00000000" w:rsidRPr="00000000">
        <w:rPr>
          <w:sz w:val="18"/>
          <w:szCs w:val="18"/>
          <w:rtl w:val="0"/>
        </w:rPr>
        <w:t xml:space="preserve">, K. J. Peng, P. Huang, Jason J. Yao, Homer H. Chen, </w:t>
      </w:r>
      <w:r w:rsidDel="00000000" w:rsidR="00000000" w:rsidRPr="00000000">
        <w:rPr>
          <w:b w:val="1"/>
          <w:sz w:val="18"/>
          <w:szCs w:val="18"/>
          <w:rtl w:val="0"/>
        </w:rPr>
        <w:t xml:space="preserve">Design and Evaluation of a P2P IPTV System for Heterogeneous Networks</w:t>
      </w:r>
      <w:r w:rsidDel="00000000" w:rsidR="00000000" w:rsidRPr="00000000">
        <w:rPr>
          <w:sz w:val="18"/>
          <w:szCs w:val="18"/>
          <w:rtl w:val="0"/>
        </w:rPr>
        <w:t xml:space="preserve">, In </w:t>
      </w:r>
      <w:r w:rsidDel="00000000" w:rsidR="00000000" w:rsidRPr="00000000">
        <w:rPr>
          <w:i w:val="1"/>
          <w:sz w:val="18"/>
          <w:szCs w:val="18"/>
          <w:rtl w:val="0"/>
        </w:rPr>
        <w:t xml:space="preserve">IEEE Transactions on Multimedia, special issue on content storage and delivery</w:t>
      </w:r>
      <w:r w:rsidDel="00000000" w:rsidR="00000000" w:rsidRPr="00000000">
        <w:rPr>
          <w:sz w:val="18"/>
          <w:szCs w:val="18"/>
          <w:rtl w:val="0"/>
        </w:rPr>
        <w:t xml:space="preserve">, Dec,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line="276" w:lineRule="auto"/>
        <w:ind w:left="120"/>
        <w:rPr>
          <w:sz w:val="19"/>
          <w:szCs w:val="1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9"/>
          <w:szCs w:val="19"/>
          <w:rtl w:val="0"/>
        </w:rPr>
        <w:t xml:space="preserve">National Taiwan University, Taipei, Taiwan.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Graduate Inst. Of Computer Science and Information Engineering</w:t>
      </w:r>
    </w:p>
    <w:p w:rsidR="00000000" w:rsidDel="00000000" w:rsidP="00000000" w:rsidRDefault="00000000" w:rsidRPr="00000000" w14:paraId="00000035">
      <w:pPr>
        <w:spacing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M.S. from Graduate Institute of CSIE,  </w:t>
      </w:r>
      <w:r w:rsidDel="00000000" w:rsidR="00000000" w:rsidRPr="00000000">
        <w:rPr>
          <w:i w:val="1"/>
          <w:sz w:val="19"/>
          <w:szCs w:val="19"/>
          <w:rtl w:val="0"/>
        </w:rPr>
        <w:t xml:space="preserve">September 2004</w:t>
      </w:r>
      <w:r w:rsidDel="00000000" w:rsidR="00000000" w:rsidRPr="00000000">
        <w:rPr>
          <w:sz w:val="19"/>
          <w:szCs w:val="19"/>
          <w:rtl w:val="0"/>
        </w:rPr>
        <w:t xml:space="preserve"> – </w:t>
      </w:r>
      <w:r w:rsidDel="00000000" w:rsidR="00000000" w:rsidRPr="00000000">
        <w:rPr>
          <w:i w:val="1"/>
          <w:sz w:val="19"/>
          <w:szCs w:val="19"/>
          <w:rtl w:val="0"/>
        </w:rPr>
        <w:t xml:space="preserve">June 2006</w:t>
      </w:r>
      <w:r w:rsidDel="00000000" w:rsidR="00000000" w:rsidRPr="00000000">
        <w:rPr>
          <w:sz w:val="19"/>
          <w:szCs w:val="19"/>
          <w:rtl w:val="0"/>
        </w:rPr>
        <w:tab/>
        <w:tab/>
        <w:t xml:space="preserve">    </w:t>
        <w:tab/>
        <w:tab/>
        <w:t xml:space="preserve">         (GPA:4.0/4.0)</w:t>
      </w:r>
    </w:p>
    <w:p w:rsidR="00000000" w:rsidDel="00000000" w:rsidP="00000000" w:rsidRDefault="00000000" w:rsidRPr="00000000" w14:paraId="00000036">
      <w:pPr>
        <w:spacing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B.S. from Dept. of CSIE, college of EECS, </w:t>
      </w:r>
      <w:r w:rsidDel="00000000" w:rsidR="00000000" w:rsidRPr="00000000">
        <w:rPr>
          <w:i w:val="1"/>
          <w:sz w:val="19"/>
          <w:szCs w:val="19"/>
          <w:rtl w:val="0"/>
        </w:rPr>
        <w:t xml:space="preserve">September 2000</w:t>
      </w:r>
      <w:r w:rsidDel="00000000" w:rsidR="00000000" w:rsidRPr="00000000">
        <w:rPr>
          <w:sz w:val="19"/>
          <w:szCs w:val="19"/>
          <w:rtl w:val="0"/>
        </w:rPr>
        <w:t xml:space="preserve"> – </w:t>
      </w:r>
      <w:r w:rsidDel="00000000" w:rsidR="00000000" w:rsidRPr="00000000">
        <w:rPr>
          <w:i w:val="1"/>
          <w:sz w:val="19"/>
          <w:szCs w:val="19"/>
          <w:rtl w:val="0"/>
        </w:rPr>
        <w:t xml:space="preserve">June 2004</w:t>
      </w:r>
      <w:r w:rsidDel="00000000" w:rsidR="00000000" w:rsidRPr="00000000">
        <w:rPr>
          <w:sz w:val="19"/>
          <w:szCs w:val="19"/>
          <w:rtl w:val="0"/>
        </w:rPr>
        <w:tab/>
        <w:t xml:space="preserve">                       (Junior &amp; Senior GPA:3.75/4.00)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</w:t>
      </w:r>
    </w:p>
    <w:p w:rsidR="00000000" w:rsidDel="00000000" w:rsidP="00000000" w:rsidRDefault="00000000" w:rsidRPr="00000000" w14:paraId="0000003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i w:val="1"/>
          <w:sz w:val="19"/>
          <w:szCs w:val="19"/>
          <w:rtl w:val="0"/>
        </w:rPr>
        <w:t xml:space="preserve">Machine Learning: </w:t>
      </w:r>
      <w:r w:rsidDel="00000000" w:rsidR="00000000" w:rsidRPr="00000000">
        <w:rPr>
          <w:sz w:val="19"/>
          <w:szCs w:val="19"/>
          <w:rtl w:val="0"/>
        </w:rPr>
        <w:t xml:space="preserve">Pytorch, Num/Scipy,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720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sz w:val="19"/>
          <w:szCs w:val="19"/>
          <w:rtl w:val="0"/>
        </w:rPr>
        <w:t xml:space="preserve">: Python, Scala, Java, SQL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i w:val="1"/>
          <w:sz w:val="19"/>
          <w:szCs w:val="19"/>
          <w:rtl w:val="0"/>
        </w:rPr>
        <w:t xml:space="preserve">Dev Tools</w:t>
      </w:r>
      <w:r w:rsidDel="00000000" w:rsidR="00000000" w:rsidRPr="00000000">
        <w:rPr>
          <w:sz w:val="19"/>
          <w:szCs w:val="19"/>
          <w:rtl w:val="0"/>
        </w:rPr>
        <w:t xml:space="preserve">: Jenkins, JIRA, Airflow, Presto, AWS, Git, Kupernetes.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rebuchet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3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15"/>
      </w:pPr>
      <w:rPr>
        <w:u w:val="none"/>
      </w:rPr>
    </w:lvl>
    <w:lvl w:ilvl="2">
      <w:start w:val="1"/>
      <w:numFmt w:val="bullet"/>
      <w:lvlText w:val="■"/>
      <w:lvlJc w:val="left"/>
      <w:pPr>
        <w:ind w:left="2135" w:hanging="480"/>
      </w:pPr>
      <w:rPr>
        <w:u w:val="none"/>
      </w:rPr>
    </w:lvl>
    <w:lvl w:ilvl="3">
      <w:start w:val="1"/>
      <w:numFmt w:val="bullet"/>
      <w:lvlText w:val="●"/>
      <w:lvlJc w:val="left"/>
      <w:pPr>
        <w:ind w:left="2615" w:hanging="480"/>
      </w:pPr>
      <w:rPr>
        <w:u w:val="none"/>
      </w:rPr>
    </w:lvl>
    <w:lvl w:ilvl="4">
      <w:start w:val="1"/>
      <w:numFmt w:val="bullet"/>
      <w:lvlText w:val="○"/>
      <w:lvlJc w:val="left"/>
      <w:pPr>
        <w:ind w:left="3095" w:hanging="480"/>
      </w:pPr>
      <w:rPr>
        <w:u w:val="none"/>
      </w:rPr>
    </w:lvl>
    <w:lvl w:ilvl="5">
      <w:start w:val="1"/>
      <w:numFmt w:val="bullet"/>
      <w:lvlText w:val="■"/>
      <w:lvlJc w:val="left"/>
      <w:pPr>
        <w:ind w:left="3575" w:hanging="480"/>
      </w:pPr>
      <w:rPr>
        <w:u w:val="none"/>
      </w:rPr>
    </w:lvl>
    <w:lvl w:ilvl="6">
      <w:start w:val="1"/>
      <w:numFmt w:val="bullet"/>
      <w:lvlText w:val="●"/>
      <w:lvlJc w:val="left"/>
      <w:pPr>
        <w:ind w:left="4055" w:hanging="480"/>
      </w:pPr>
      <w:rPr>
        <w:u w:val="none"/>
      </w:rPr>
    </w:lvl>
    <w:lvl w:ilvl="7">
      <w:start w:val="1"/>
      <w:numFmt w:val="bullet"/>
      <w:lvlText w:val="○"/>
      <w:lvlJc w:val="left"/>
      <w:pPr>
        <w:ind w:left="4535" w:hanging="480"/>
      </w:pPr>
      <w:rPr>
        <w:u w:val="none"/>
      </w:rPr>
    </w:lvl>
    <w:lvl w:ilvl="8">
      <w:start w:val="1"/>
      <w:numFmt w:val="bullet"/>
      <w:lvlText w:val="■"/>
      <w:lvlJc w:val="left"/>
      <w:pPr>
        <w:ind w:left="5015" w:hanging="4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3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15"/>
      </w:pPr>
      <w:rPr>
        <w:u w:val="none"/>
      </w:rPr>
    </w:lvl>
    <w:lvl w:ilvl="2">
      <w:start w:val="1"/>
      <w:numFmt w:val="bullet"/>
      <w:lvlText w:val="■"/>
      <w:lvlJc w:val="left"/>
      <w:pPr>
        <w:ind w:left="2135" w:hanging="480"/>
      </w:pPr>
      <w:rPr>
        <w:u w:val="none"/>
      </w:rPr>
    </w:lvl>
    <w:lvl w:ilvl="3">
      <w:start w:val="1"/>
      <w:numFmt w:val="bullet"/>
      <w:lvlText w:val="●"/>
      <w:lvlJc w:val="left"/>
      <w:pPr>
        <w:ind w:left="2615" w:hanging="480"/>
      </w:pPr>
      <w:rPr>
        <w:u w:val="none"/>
      </w:rPr>
    </w:lvl>
    <w:lvl w:ilvl="4">
      <w:start w:val="1"/>
      <w:numFmt w:val="bullet"/>
      <w:lvlText w:val="○"/>
      <w:lvlJc w:val="left"/>
      <w:pPr>
        <w:ind w:left="3095" w:hanging="480"/>
      </w:pPr>
      <w:rPr>
        <w:u w:val="none"/>
      </w:rPr>
    </w:lvl>
    <w:lvl w:ilvl="5">
      <w:start w:val="1"/>
      <w:numFmt w:val="bullet"/>
      <w:lvlText w:val="■"/>
      <w:lvlJc w:val="left"/>
      <w:pPr>
        <w:ind w:left="3575" w:hanging="480"/>
      </w:pPr>
      <w:rPr>
        <w:u w:val="none"/>
      </w:rPr>
    </w:lvl>
    <w:lvl w:ilvl="6">
      <w:start w:val="1"/>
      <w:numFmt w:val="bullet"/>
      <w:lvlText w:val="●"/>
      <w:lvlJc w:val="left"/>
      <w:pPr>
        <w:ind w:left="4055" w:hanging="480"/>
      </w:pPr>
      <w:rPr>
        <w:u w:val="none"/>
      </w:rPr>
    </w:lvl>
    <w:lvl w:ilvl="7">
      <w:start w:val="1"/>
      <w:numFmt w:val="bullet"/>
      <w:lvlText w:val="○"/>
      <w:lvlJc w:val="left"/>
      <w:pPr>
        <w:ind w:left="4535" w:hanging="480"/>
      </w:pPr>
      <w:rPr>
        <w:u w:val="none"/>
      </w:rPr>
    </w:lvl>
    <w:lvl w:ilvl="8">
      <w:start w:val="1"/>
      <w:numFmt w:val="bullet"/>
      <w:lvlText w:val="■"/>
      <w:lvlJc w:val="left"/>
      <w:pPr>
        <w:ind w:left="5015" w:hanging="4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63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15"/>
      </w:pPr>
      <w:rPr>
        <w:u w:val="none"/>
      </w:rPr>
    </w:lvl>
    <w:lvl w:ilvl="2">
      <w:start w:val="1"/>
      <w:numFmt w:val="bullet"/>
      <w:lvlText w:val="■"/>
      <w:lvlJc w:val="left"/>
      <w:pPr>
        <w:ind w:left="2135" w:hanging="480"/>
      </w:pPr>
      <w:rPr>
        <w:u w:val="none"/>
      </w:rPr>
    </w:lvl>
    <w:lvl w:ilvl="3">
      <w:start w:val="1"/>
      <w:numFmt w:val="bullet"/>
      <w:lvlText w:val="●"/>
      <w:lvlJc w:val="left"/>
      <w:pPr>
        <w:ind w:left="2615" w:hanging="480"/>
      </w:pPr>
      <w:rPr>
        <w:u w:val="none"/>
      </w:rPr>
    </w:lvl>
    <w:lvl w:ilvl="4">
      <w:start w:val="1"/>
      <w:numFmt w:val="bullet"/>
      <w:lvlText w:val="○"/>
      <w:lvlJc w:val="left"/>
      <w:pPr>
        <w:ind w:left="3095" w:hanging="480"/>
      </w:pPr>
      <w:rPr>
        <w:u w:val="none"/>
      </w:rPr>
    </w:lvl>
    <w:lvl w:ilvl="5">
      <w:start w:val="1"/>
      <w:numFmt w:val="bullet"/>
      <w:lvlText w:val="■"/>
      <w:lvlJc w:val="left"/>
      <w:pPr>
        <w:ind w:left="3575" w:hanging="480"/>
      </w:pPr>
      <w:rPr>
        <w:u w:val="none"/>
      </w:rPr>
    </w:lvl>
    <w:lvl w:ilvl="6">
      <w:start w:val="1"/>
      <w:numFmt w:val="bullet"/>
      <w:lvlText w:val="●"/>
      <w:lvlJc w:val="left"/>
      <w:pPr>
        <w:ind w:left="4055" w:hanging="480"/>
      </w:pPr>
      <w:rPr>
        <w:u w:val="none"/>
      </w:rPr>
    </w:lvl>
    <w:lvl w:ilvl="7">
      <w:start w:val="1"/>
      <w:numFmt w:val="bullet"/>
      <w:lvlText w:val="○"/>
      <w:lvlJc w:val="left"/>
      <w:pPr>
        <w:ind w:left="4535" w:hanging="480"/>
      </w:pPr>
      <w:rPr>
        <w:u w:val="none"/>
      </w:rPr>
    </w:lvl>
    <w:lvl w:ilvl="8">
      <w:start w:val="1"/>
      <w:numFmt w:val="bullet"/>
      <w:lvlText w:val="■"/>
      <w:lvlJc w:val="left"/>
      <w:pPr>
        <w:ind w:left="5015" w:hanging="4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63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655" w:hanging="480"/>
      </w:pPr>
      <w:rPr>
        <w:u w:val="none"/>
      </w:rPr>
    </w:lvl>
    <w:lvl w:ilvl="2">
      <w:start w:val="1"/>
      <w:numFmt w:val="bullet"/>
      <w:lvlText w:val="■"/>
      <w:lvlJc w:val="left"/>
      <w:pPr>
        <w:ind w:left="2135" w:hanging="480"/>
      </w:pPr>
      <w:rPr>
        <w:u w:val="none"/>
      </w:rPr>
    </w:lvl>
    <w:lvl w:ilvl="3">
      <w:start w:val="1"/>
      <w:numFmt w:val="bullet"/>
      <w:lvlText w:val="●"/>
      <w:lvlJc w:val="left"/>
      <w:pPr>
        <w:ind w:left="2615" w:hanging="480"/>
      </w:pPr>
      <w:rPr>
        <w:u w:val="none"/>
      </w:rPr>
    </w:lvl>
    <w:lvl w:ilvl="4">
      <w:start w:val="1"/>
      <w:numFmt w:val="bullet"/>
      <w:lvlText w:val="○"/>
      <w:lvlJc w:val="left"/>
      <w:pPr>
        <w:ind w:left="3095" w:hanging="480"/>
      </w:pPr>
      <w:rPr>
        <w:u w:val="none"/>
      </w:rPr>
    </w:lvl>
    <w:lvl w:ilvl="5">
      <w:start w:val="1"/>
      <w:numFmt w:val="bullet"/>
      <w:lvlText w:val="■"/>
      <w:lvlJc w:val="left"/>
      <w:pPr>
        <w:ind w:left="3575" w:hanging="480"/>
      </w:pPr>
      <w:rPr>
        <w:u w:val="none"/>
      </w:rPr>
    </w:lvl>
    <w:lvl w:ilvl="6">
      <w:start w:val="1"/>
      <w:numFmt w:val="bullet"/>
      <w:lvlText w:val="●"/>
      <w:lvlJc w:val="left"/>
      <w:pPr>
        <w:ind w:left="4055" w:hanging="480"/>
      </w:pPr>
      <w:rPr>
        <w:u w:val="none"/>
      </w:rPr>
    </w:lvl>
    <w:lvl w:ilvl="7">
      <w:start w:val="1"/>
      <w:numFmt w:val="bullet"/>
      <w:lvlText w:val="○"/>
      <w:lvlJc w:val="left"/>
      <w:pPr>
        <w:ind w:left="4535" w:hanging="480"/>
      </w:pPr>
      <w:rPr>
        <w:u w:val="none"/>
      </w:rPr>
    </w:lvl>
    <w:lvl w:ilvl="8">
      <w:start w:val="1"/>
      <w:numFmt w:val="bullet"/>
      <w:lvlText w:val="■"/>
      <w:lvlJc w:val="left"/>
      <w:pPr>
        <w:ind w:left="5015" w:hanging="4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rryjcw@gmail.com" TargetMode="External"/><Relationship Id="rId7" Type="http://schemas.openxmlformats.org/officeDocument/2006/relationships/hyperlink" Target="https://tw.linkedin.com/in/jerry-wu-02143a22" TargetMode="External"/><Relationship Id="rId8" Type="http://schemas.openxmlformats.org/officeDocument/2006/relationships/hyperlink" Target="https://tw.linkedin.com/in/jerry-wu-02143a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