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Close Enough — results tables from the powered run</w:t>
      </w:r>
    </w:p>
    <w:p>
      <w:pPr>
        <w:spacing w:after="120"/>
      </w:pPr>
      <w:r>
        <w:rPr>
          <w:b w:val="false"/>
          <w:bCs w:val="false"/>
          <w:i w:val="false"/>
          <w:iCs w:val="false"/>
          <w:sz w:val="20"/>
          <w:szCs w:val="20"/>
        </w:rPr>
        <w:t xml:space="preserve">Run ce_run_2026-09-05_v2. Target Qwen2.5-7B-Instruct, bf16 reference, τ = 0.7 with no top-p/top-k, 220 prompts (prose 40, code 60, arithmetic 40, Chinese 40, hard-verifiable 40), 8 generations per prompt on one RTX 5090. Judge claude-sonnet-5 (second family claude-opus-5 on 10%), judged 2026-09-05/06, 2,288 calls. Baseline for every measured arm is the mean of the two unmodified draws (reference, resample) on the same prompt; the resample row is the exchangeability test against the reference alone. Equivalence at the pre-stated bound of ±0.3 rating points is declared when the 90% confidence interval lies inside the bound (TOST, α = 0.05).</w:t>
      </w:r>
    </w:p>
    <w:p>
      <w:pPr>
        <w:pStyle w:val="Heading2"/>
      </w:pPr>
      <w:r>
        <w:t xml:space="preserve">Table 1. Pooled quality deltas (n = 220 per arm)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700"/>
        <w:gridCol w:w="1500"/>
        <w:gridCol w:w="700"/>
        <w:gridCol w:w="1000"/>
        <w:gridCol w:w="1000"/>
      </w:tblGrid>
      <w:tr>
        <w:trPr>
          <w:tblHeader/>
        </w:trPr>
        <w:tc>
          <w:tcPr>
            <w:tcW w:type="dxa" w:w="2500"/>
            <w:shd w:fill="E7E6E6" w:val="clear"/>
          </w:tcPr>
          <w:p>
            <w:pPr>
              <w:spacing w:after="0"/>
            </w:pPr>
            <w:r>
              <w:rPr>
                <w:b/>
                <w:bCs/>
                <w:sz w:val="18"/>
                <w:szCs w:val="18"/>
              </w:rPr>
              <w:t xml:space="preserve">Arm</w:t>
            </w:r>
          </w:p>
        </w:tc>
        <w:tc>
          <w:tcPr>
            <w:tcW w:type="dxa" w:w="800"/>
            <w:shd w:fill="E7E6E6" w:val="clear"/>
          </w:tcPr>
          <w:p>
            <w:pPr>
              <w:spacing w:after="0"/>
            </w:pPr>
            <w:r>
              <w:rPr>
                <w:b/>
                <w:bCs/>
                <w:sz w:val="18"/>
                <w:szCs w:val="18"/>
              </w:rPr>
              <w:t xml:space="preserve">Δ</w:t>
            </w:r>
          </w:p>
        </w:tc>
        <w:tc>
          <w:tcPr>
            <w:tcW w:type="dxa" w:w="1700"/>
            <w:shd w:fill="E7E6E6" w:val="clear"/>
          </w:tcPr>
          <w:p>
            <w:pPr>
              <w:spacing w:after="0"/>
            </w:pPr>
            <w:r>
              <w:rPr>
                <w:b/>
                <w:bCs/>
                <w:sz w:val="18"/>
                <w:szCs w:val="18"/>
              </w:rPr>
              <w:t xml:space="preserve">95% CI</w:t>
            </w:r>
          </w:p>
        </w:tc>
        <w:tc>
          <w:tcPr>
            <w:tcW w:type="dxa" w:w="1500"/>
            <w:shd w:fill="E7E6E6" w:val="clear"/>
          </w:tcPr>
          <w:p>
            <w:pPr>
              <w:spacing w:after="0"/>
            </w:pPr>
            <w:r>
              <w:rPr>
                <w:b/>
                <w:bCs/>
                <w:sz w:val="18"/>
                <w:szCs w:val="18"/>
              </w:rPr>
              <w:t xml:space="preserve">Verdict at ±0.3</w:t>
            </w:r>
          </w:p>
        </w:tc>
        <w:tc>
          <w:tcPr>
            <w:tcW w:type="dxa" w:w="700"/>
            <w:shd w:fill="E7E6E6" w:val="clear"/>
          </w:tcPr>
          <w:p>
            <w:pPr>
              <w:spacing w:after="0"/>
            </w:pPr>
            <w:r>
              <w:rPr>
                <w:b/>
                <w:bCs/>
                <w:sz w:val="18"/>
                <w:szCs w:val="18"/>
              </w:rPr>
              <w:t xml:space="preserve">s.d.</w:t>
            </w:r>
          </w:p>
        </w:tc>
        <w:tc>
          <w:tcPr>
            <w:tcW w:type="dxa" w:w="1000"/>
            <w:shd w:fill="E7E6E6" w:val="clear"/>
          </w:tcPr>
          <w:p>
            <w:pPr>
              <w:spacing w:after="0"/>
            </w:pPr>
            <w:r>
              <w:rPr>
                <w:b/>
                <w:bCs/>
                <w:sz w:val="18"/>
                <w:szCs w:val="18"/>
              </w:rPr>
              <w:t xml:space="preserve">Derailed</w:t>
            </w:r>
          </w:p>
        </w:tc>
        <w:tc>
          <w:tcPr>
            <w:tcW w:type="dxa" w:w="1000"/>
            <w:shd w:fill="E7E6E6" w:val="clear"/>
          </w:tcPr>
          <w:p>
            <w:pPr>
              <w:spacing w:after="0"/>
            </w:pPr>
            <w:r>
              <w:rPr>
                <w:b/>
                <w:bCs/>
                <w:sz w:val="18"/>
                <w:szCs w:val="18"/>
              </w:rPr>
              <w:t xml:space="preserve">Mean EAR</w:t>
            </w:r>
          </w:p>
        </w:tc>
      </w:tr>
      <w:tr>
        <w:tc>
          <w:tcPr>
            <w:tcW w:type="dxa" w:w="2500"/>
          </w:tcPr>
          <w:p>
            <w:pPr>
              <w:spacing w:after="0"/>
            </w:pPr>
            <w:r>
              <w:rPr>
                <w:b w:val="false"/>
                <w:bCs w:val="false"/>
                <w:sz w:val="18"/>
                <w:szCs w:val="18"/>
              </w:rPr>
              <w:t xml:space="preserve">resample (bf16, null)</w:t>
            </w:r>
          </w:p>
        </w:tc>
        <w:tc>
          <w:tcPr>
            <w:tcW w:type="dxa" w:w="800"/>
          </w:tcPr>
          <w:p>
            <w:pPr>
              <w:spacing w:after="0"/>
            </w:pPr>
            <w:r>
              <w:rPr>
                <w:b w:val="false"/>
                <w:bCs w:val="false"/>
                <w:sz w:val="18"/>
                <w:szCs w:val="18"/>
              </w:rPr>
              <w:t xml:space="preserve">-0.05</w:t>
            </w:r>
          </w:p>
        </w:tc>
        <w:tc>
          <w:tcPr>
            <w:tcW w:type="dxa" w:w="1700"/>
          </w:tcPr>
          <w:p>
            <w:pPr>
              <w:spacing w:after="0"/>
            </w:pPr>
            <w:r>
              <w:rPr>
                <w:b w:val="false"/>
                <w:bCs w:val="false"/>
                <w:sz w:val="18"/>
                <w:szCs w:val="18"/>
              </w:rPr>
              <w:t xml:space="preserve">[-0.18, +0.08]</w:t>
            </w:r>
          </w:p>
        </w:tc>
        <w:tc>
          <w:tcPr>
            <w:tcW w:type="dxa" w:w="1500"/>
          </w:tcPr>
          <w:p>
            <w:pPr>
              <w:spacing w:after="0"/>
            </w:pPr>
            <w:r>
              <w:rPr>
                <w:b w:val="false"/>
                <w:bCs w:val="false"/>
                <w:sz w:val="18"/>
                <w:szCs w:val="18"/>
              </w:rPr>
              <w:t xml:space="preserve">equivalent</w:t>
            </w:r>
          </w:p>
        </w:tc>
        <w:tc>
          <w:tcPr>
            <w:tcW w:type="dxa" w:w="700"/>
          </w:tcPr>
          <w:p>
            <w:pPr>
              <w:spacing w:after="0"/>
            </w:pPr>
            <w:r>
              <w:rPr>
                <w:b w:val="false"/>
                <w:bCs w:val="false"/>
                <w:sz w:val="18"/>
                <w:szCs w:val="18"/>
              </w:rPr>
              <w:t xml:space="preserve">0.94</w:t>
            </w:r>
          </w:p>
        </w:tc>
        <w:tc>
          <w:tcPr>
            <w:tcW w:type="dxa" w:w="1000"/>
          </w:tcPr>
          <w:p>
            <w:pPr>
              <w:spacing w:after="0"/>
            </w:pPr>
            <w:r>
              <w:rPr>
                <w:b w:val="false"/>
                <w:bCs w:val="false"/>
                <w:sz w:val="18"/>
                <w:szCs w:val="18"/>
              </w:rPr>
              <w:t xml:space="preserve">0.0%</w:t>
            </w:r>
          </w:p>
        </w:tc>
        <w:tc>
          <w:tcPr>
            <w:tcW w:type="dxa" w:w="1000"/>
          </w:tcPr>
          <w:p>
            <w:pPr>
              <w:spacing w:after="0"/>
            </w:pPr>
            <w:r>
              <w:rPr>
                <w:b w:val="false"/>
                <w:bCs w:val="false"/>
                <w:sz w:val="18"/>
                <w:szCs w:val="18"/>
              </w:rPr>
              <w:t xml:space="preserve">—</w:t>
            </w:r>
          </w:p>
        </w:tc>
      </w:tr>
      <w:tr>
        <w:tc>
          <w:tcPr>
            <w:tcW w:type="dxa" w:w="2500"/>
          </w:tcPr>
          <w:p>
            <w:pPr>
              <w:spacing w:after="0"/>
            </w:pPr>
            <w:r>
              <w:rPr>
                <w:b w:val="false"/>
                <w:bCs w:val="false"/>
                <w:sz w:val="18"/>
                <w:szCs w:val="18"/>
              </w:rPr>
              <w:t xml:space="preserve">speculative λ=1.0 (null)</w:t>
            </w:r>
          </w:p>
        </w:tc>
        <w:tc>
          <w:tcPr>
            <w:tcW w:type="dxa" w:w="800"/>
          </w:tcPr>
          <w:p>
            <w:pPr>
              <w:spacing w:after="0"/>
            </w:pPr>
            <w:r>
              <w:rPr>
                <w:b w:val="false"/>
                <w:bCs w:val="false"/>
                <w:sz w:val="18"/>
                <w:szCs w:val="18"/>
              </w:rPr>
              <w:t xml:space="preserve">+0.05</w:t>
            </w:r>
          </w:p>
        </w:tc>
        <w:tc>
          <w:tcPr>
            <w:tcW w:type="dxa" w:w="1700"/>
          </w:tcPr>
          <w:p>
            <w:pPr>
              <w:spacing w:after="0"/>
            </w:pPr>
            <w:r>
              <w:rPr>
                <w:b w:val="false"/>
                <w:bCs w:val="false"/>
                <w:sz w:val="18"/>
                <w:szCs w:val="18"/>
              </w:rPr>
              <w:t xml:space="preserve">[-0.06, +0.16]</w:t>
            </w:r>
          </w:p>
        </w:tc>
        <w:tc>
          <w:tcPr>
            <w:tcW w:type="dxa" w:w="1500"/>
          </w:tcPr>
          <w:p>
            <w:pPr>
              <w:spacing w:after="0"/>
            </w:pPr>
            <w:r>
              <w:rPr>
                <w:b w:val="false"/>
                <w:bCs w:val="false"/>
                <w:sz w:val="18"/>
                <w:szCs w:val="18"/>
              </w:rPr>
              <w:t xml:space="preserve">equivalent</w:t>
            </w:r>
          </w:p>
        </w:tc>
        <w:tc>
          <w:tcPr>
            <w:tcW w:type="dxa" w:w="700"/>
          </w:tcPr>
          <w:p>
            <w:pPr>
              <w:spacing w:after="0"/>
            </w:pPr>
            <w:r>
              <w:rPr>
                <w:b w:val="false"/>
                <w:bCs w:val="false"/>
                <w:sz w:val="18"/>
                <w:szCs w:val="18"/>
              </w:rPr>
              <w:t xml:space="preserve">0.84</w:t>
            </w:r>
          </w:p>
        </w:tc>
        <w:tc>
          <w:tcPr>
            <w:tcW w:type="dxa" w:w="1000"/>
          </w:tcPr>
          <w:p>
            <w:pPr>
              <w:spacing w:after="0"/>
            </w:pPr>
            <w:r>
              <w:rPr>
                <w:b w:val="false"/>
                <w:bCs w:val="false"/>
                <w:sz w:val="18"/>
                <w:szCs w:val="18"/>
              </w:rPr>
              <w:t xml:space="preserve">0.9%</w:t>
            </w:r>
          </w:p>
        </w:tc>
        <w:tc>
          <w:tcPr>
            <w:tcW w:type="dxa" w:w="1000"/>
          </w:tcPr>
          <w:p>
            <w:pPr>
              <w:spacing w:after="0"/>
            </w:pPr>
            <w:r>
              <w:rPr>
                <w:b w:val="false"/>
                <w:bCs w:val="false"/>
                <w:sz w:val="18"/>
                <w:szCs w:val="18"/>
              </w:rPr>
              <w:t xml:space="preserve">0.950</w:t>
            </w:r>
          </w:p>
        </w:tc>
      </w:tr>
      <w:tr>
        <w:tc>
          <w:tcPr>
            <w:tcW w:type="dxa" w:w="2500"/>
          </w:tcPr>
          <w:p>
            <w:pPr>
              <w:spacing w:after="0"/>
            </w:pPr>
            <w:r>
              <w:rPr>
                <w:b w:val="false"/>
                <w:bCs w:val="false"/>
                <w:sz w:val="18"/>
                <w:szCs w:val="18"/>
              </w:rPr>
              <w:t xml:space="preserve">speculative λ=0.2</w:t>
            </w:r>
          </w:p>
        </w:tc>
        <w:tc>
          <w:tcPr>
            <w:tcW w:type="dxa" w:w="800"/>
          </w:tcPr>
          <w:p>
            <w:pPr>
              <w:spacing w:after="0"/>
            </w:pPr>
            <w:r>
              <w:rPr>
                <w:b w:val="false"/>
                <w:bCs w:val="false"/>
                <w:sz w:val="18"/>
                <w:szCs w:val="18"/>
              </w:rPr>
              <w:t xml:space="preserve">-0.02</w:t>
            </w:r>
          </w:p>
        </w:tc>
        <w:tc>
          <w:tcPr>
            <w:tcW w:type="dxa" w:w="1700"/>
          </w:tcPr>
          <w:p>
            <w:pPr>
              <w:spacing w:after="0"/>
            </w:pPr>
            <w:r>
              <w:rPr>
                <w:b w:val="false"/>
                <w:bCs w:val="false"/>
                <w:sz w:val="18"/>
                <w:szCs w:val="18"/>
              </w:rPr>
              <w:t xml:space="preserve">[-0.14, +0.10]</w:t>
            </w:r>
          </w:p>
        </w:tc>
        <w:tc>
          <w:tcPr>
            <w:tcW w:type="dxa" w:w="1500"/>
          </w:tcPr>
          <w:p>
            <w:pPr>
              <w:spacing w:after="0"/>
            </w:pPr>
            <w:r>
              <w:rPr>
                <w:b w:val="false"/>
                <w:bCs w:val="false"/>
                <w:sz w:val="18"/>
                <w:szCs w:val="18"/>
              </w:rPr>
              <w:t xml:space="preserve">equivalent</w:t>
            </w:r>
          </w:p>
        </w:tc>
        <w:tc>
          <w:tcPr>
            <w:tcW w:type="dxa" w:w="700"/>
          </w:tcPr>
          <w:p>
            <w:pPr>
              <w:spacing w:after="0"/>
            </w:pPr>
            <w:r>
              <w:rPr>
                <w:b w:val="false"/>
                <w:bCs w:val="false"/>
                <w:sz w:val="18"/>
                <w:szCs w:val="18"/>
              </w:rPr>
              <w:t xml:space="preserve">0.92</w:t>
            </w:r>
          </w:p>
        </w:tc>
        <w:tc>
          <w:tcPr>
            <w:tcW w:type="dxa" w:w="1000"/>
          </w:tcPr>
          <w:p>
            <w:pPr>
              <w:spacing w:after="0"/>
            </w:pPr>
            <w:r>
              <w:rPr>
                <w:b w:val="false"/>
                <w:bCs w:val="false"/>
                <w:sz w:val="18"/>
                <w:szCs w:val="18"/>
              </w:rPr>
              <w:t xml:space="preserve">0.9%</w:t>
            </w:r>
          </w:p>
        </w:tc>
        <w:tc>
          <w:tcPr>
            <w:tcW w:type="dxa" w:w="1000"/>
          </w:tcPr>
          <w:p>
            <w:pPr>
              <w:spacing w:after="0"/>
            </w:pPr>
            <w:r>
              <w:rPr>
                <w:b w:val="false"/>
                <w:bCs w:val="false"/>
                <w:sz w:val="18"/>
                <w:szCs w:val="18"/>
              </w:rPr>
              <w:t xml:space="preserve">0.952</w:t>
            </w:r>
          </w:p>
        </w:tc>
      </w:tr>
      <w:tr>
        <w:tc>
          <w:tcPr>
            <w:tcW w:type="dxa" w:w="2500"/>
          </w:tcPr>
          <w:p>
            <w:pPr>
              <w:spacing w:after="0"/>
            </w:pPr>
            <w:r>
              <w:rPr>
                <w:b w:val="false"/>
                <w:bCs w:val="false"/>
                <w:sz w:val="18"/>
                <w:szCs w:val="18"/>
              </w:rPr>
              <w:t xml:space="preserve">NF4 4-bit</w:t>
            </w:r>
          </w:p>
        </w:tc>
        <w:tc>
          <w:tcPr>
            <w:tcW w:type="dxa" w:w="800"/>
          </w:tcPr>
          <w:p>
            <w:pPr>
              <w:spacing w:after="0"/>
            </w:pPr>
            <w:r>
              <w:rPr>
                <w:b w:val="false"/>
                <w:bCs w:val="false"/>
                <w:sz w:val="18"/>
                <w:szCs w:val="18"/>
              </w:rPr>
              <w:t xml:space="preserve">+0.01</w:t>
            </w:r>
          </w:p>
        </w:tc>
        <w:tc>
          <w:tcPr>
            <w:tcW w:type="dxa" w:w="1700"/>
          </w:tcPr>
          <w:p>
            <w:pPr>
              <w:spacing w:after="0"/>
            </w:pPr>
            <w:r>
              <w:rPr>
                <w:b w:val="false"/>
                <w:bCs w:val="false"/>
                <w:sz w:val="18"/>
                <w:szCs w:val="18"/>
              </w:rPr>
              <w:t xml:space="preserve">[-0.10, +0.12]</w:t>
            </w:r>
          </w:p>
        </w:tc>
        <w:tc>
          <w:tcPr>
            <w:tcW w:type="dxa" w:w="1500"/>
          </w:tcPr>
          <w:p>
            <w:pPr>
              <w:spacing w:after="0"/>
            </w:pPr>
            <w:r>
              <w:rPr>
                <w:b w:val="false"/>
                <w:bCs w:val="false"/>
                <w:sz w:val="18"/>
                <w:szCs w:val="18"/>
              </w:rPr>
              <w:t xml:space="preserve">equivalent</w:t>
            </w:r>
          </w:p>
        </w:tc>
        <w:tc>
          <w:tcPr>
            <w:tcW w:type="dxa" w:w="700"/>
          </w:tcPr>
          <w:p>
            <w:pPr>
              <w:spacing w:after="0"/>
            </w:pPr>
            <w:r>
              <w:rPr>
                <w:b w:val="false"/>
                <w:bCs w:val="false"/>
                <w:sz w:val="18"/>
                <w:szCs w:val="18"/>
              </w:rPr>
              <w:t xml:space="preserve">0.84</w:t>
            </w:r>
          </w:p>
        </w:tc>
        <w:tc>
          <w:tcPr>
            <w:tcW w:type="dxa" w:w="1000"/>
          </w:tcPr>
          <w:p>
            <w:pPr>
              <w:spacing w:after="0"/>
            </w:pPr>
            <w:r>
              <w:rPr>
                <w:b w:val="false"/>
                <w:bCs w:val="false"/>
                <w:sz w:val="18"/>
                <w:szCs w:val="18"/>
              </w:rPr>
              <w:t xml:space="preserve">1.8%</w:t>
            </w:r>
          </w:p>
        </w:tc>
        <w:tc>
          <w:tcPr>
            <w:tcW w:type="dxa" w:w="1000"/>
          </w:tcPr>
          <w:p>
            <w:pPr>
              <w:spacing w:after="0"/>
            </w:pPr>
            <w:r>
              <w:rPr>
                <w:b w:val="false"/>
                <w:bCs w:val="false"/>
                <w:sz w:val="18"/>
                <w:szCs w:val="18"/>
              </w:rPr>
              <w:t xml:space="preserve">—</w:t>
            </w:r>
          </w:p>
        </w:tc>
      </w:tr>
      <w:tr>
        <w:tc>
          <w:tcPr>
            <w:tcW w:type="dxa" w:w="2500"/>
          </w:tcPr>
          <w:p>
            <w:pPr>
              <w:spacing w:after="0"/>
            </w:pPr>
            <w:r>
              <w:rPr>
                <w:b w:val="false"/>
                <w:bCs w:val="false"/>
                <w:sz w:val="18"/>
                <w:szCs w:val="18"/>
              </w:rPr>
              <w:t xml:space="preserve">HQQ 3-bit</w:t>
            </w:r>
          </w:p>
        </w:tc>
        <w:tc>
          <w:tcPr>
            <w:tcW w:type="dxa" w:w="800"/>
          </w:tcPr>
          <w:p>
            <w:pPr>
              <w:spacing w:after="0"/>
            </w:pPr>
            <w:r>
              <w:rPr>
                <w:b w:val="false"/>
                <w:bCs w:val="false"/>
                <w:sz w:val="18"/>
                <w:szCs w:val="18"/>
              </w:rPr>
              <w:t xml:space="preserve">-0.70</w:t>
            </w:r>
          </w:p>
        </w:tc>
        <w:tc>
          <w:tcPr>
            <w:tcW w:type="dxa" w:w="1700"/>
          </w:tcPr>
          <w:p>
            <w:pPr>
              <w:spacing w:after="0"/>
            </w:pPr>
            <w:r>
              <w:rPr>
                <w:b w:val="false"/>
                <w:bCs w:val="false"/>
                <w:sz w:val="18"/>
                <w:szCs w:val="18"/>
              </w:rPr>
              <w:t xml:space="preserve">[-0.85, -0.55]</w:t>
            </w:r>
          </w:p>
        </w:tc>
        <w:tc>
          <w:tcPr>
            <w:tcW w:type="dxa" w:w="1500"/>
          </w:tcPr>
          <w:p>
            <w:pPr>
              <w:spacing w:after="0"/>
            </w:pPr>
            <w:r>
              <w:rPr>
                <w:b w:val="false"/>
                <w:bCs w:val="false"/>
                <w:sz w:val="18"/>
                <w:szCs w:val="18"/>
              </w:rPr>
              <w:t xml:space="preserve">worse</w:t>
            </w:r>
          </w:p>
        </w:tc>
        <w:tc>
          <w:tcPr>
            <w:tcW w:type="dxa" w:w="700"/>
          </w:tcPr>
          <w:p>
            <w:pPr>
              <w:spacing w:after="0"/>
            </w:pPr>
            <w:r>
              <w:rPr>
                <w:b w:val="false"/>
                <w:bCs w:val="false"/>
                <w:sz w:val="18"/>
                <w:szCs w:val="18"/>
              </w:rPr>
              <w:t xml:space="preserve">1.14</w:t>
            </w:r>
          </w:p>
        </w:tc>
        <w:tc>
          <w:tcPr>
            <w:tcW w:type="dxa" w:w="1000"/>
          </w:tcPr>
          <w:p>
            <w:pPr>
              <w:spacing w:after="0"/>
            </w:pPr>
            <w:r>
              <w:rPr>
                <w:b w:val="false"/>
                <w:bCs w:val="false"/>
                <w:sz w:val="18"/>
                <w:szCs w:val="18"/>
              </w:rPr>
              <w:t xml:space="preserve">4.1%</w:t>
            </w:r>
          </w:p>
        </w:tc>
        <w:tc>
          <w:tcPr>
            <w:tcW w:type="dxa" w:w="1000"/>
          </w:tcPr>
          <w:p>
            <w:pPr>
              <w:spacing w:after="0"/>
            </w:pPr>
            <w:r>
              <w:rPr>
                <w:b w:val="false"/>
                <w:bCs w:val="false"/>
                <w:sz w:val="18"/>
                <w:szCs w:val="18"/>
              </w:rPr>
              <w:t xml:space="preserve">—</w:t>
            </w:r>
          </w:p>
        </w:tc>
      </w:tr>
      <w:tr>
        <w:tc>
          <w:tcPr>
            <w:tcW w:type="dxa" w:w="2500"/>
          </w:tcPr>
          <w:p>
            <w:pPr>
              <w:spacing w:after="0"/>
            </w:pPr>
            <w:r>
              <w:rPr>
                <w:b w:val="false"/>
                <w:bCs w:val="false"/>
                <w:sz w:val="18"/>
                <w:szCs w:val="18"/>
              </w:rPr>
              <w:t xml:space="preserve">exit d15, refill 16</w:t>
            </w:r>
          </w:p>
        </w:tc>
        <w:tc>
          <w:tcPr>
            <w:tcW w:type="dxa" w:w="800"/>
          </w:tcPr>
          <w:p>
            <w:pPr>
              <w:spacing w:after="0"/>
            </w:pPr>
            <w:r>
              <w:rPr>
                <w:b w:val="false"/>
                <w:bCs w:val="false"/>
                <w:sz w:val="18"/>
                <w:szCs w:val="18"/>
              </w:rPr>
              <w:t xml:space="preserve">-1.07</w:t>
            </w:r>
          </w:p>
        </w:tc>
        <w:tc>
          <w:tcPr>
            <w:tcW w:type="dxa" w:w="1700"/>
          </w:tcPr>
          <w:p>
            <w:pPr>
              <w:spacing w:after="0"/>
            </w:pPr>
            <w:r>
              <w:rPr>
                <w:b w:val="false"/>
                <w:bCs w:val="false"/>
                <w:sz w:val="18"/>
                <w:szCs w:val="18"/>
              </w:rPr>
              <w:t xml:space="preserve">[-1.26, -0.87]</w:t>
            </w:r>
          </w:p>
        </w:tc>
        <w:tc>
          <w:tcPr>
            <w:tcW w:type="dxa" w:w="1500"/>
          </w:tcPr>
          <w:p>
            <w:pPr>
              <w:spacing w:after="0"/>
            </w:pPr>
            <w:r>
              <w:rPr>
                <w:b w:val="false"/>
                <w:bCs w:val="false"/>
                <w:sz w:val="18"/>
                <w:szCs w:val="18"/>
              </w:rPr>
              <w:t xml:space="preserve">worse</w:t>
            </w:r>
          </w:p>
        </w:tc>
        <w:tc>
          <w:tcPr>
            <w:tcW w:type="dxa" w:w="700"/>
          </w:tcPr>
          <w:p>
            <w:pPr>
              <w:spacing w:after="0"/>
            </w:pPr>
            <w:r>
              <w:rPr>
                <w:b w:val="false"/>
                <w:bCs w:val="false"/>
                <w:sz w:val="18"/>
                <w:szCs w:val="18"/>
              </w:rPr>
              <w:t xml:space="preserve">1.49</w:t>
            </w:r>
          </w:p>
        </w:tc>
        <w:tc>
          <w:tcPr>
            <w:tcW w:type="dxa" w:w="1000"/>
          </w:tcPr>
          <w:p>
            <w:pPr>
              <w:spacing w:after="0"/>
            </w:pPr>
            <w:r>
              <w:rPr>
                <w:b w:val="false"/>
                <w:bCs w:val="false"/>
                <w:sz w:val="18"/>
                <w:szCs w:val="18"/>
              </w:rPr>
              <w:t xml:space="preserve">10.9%</w:t>
            </w:r>
          </w:p>
        </w:tc>
        <w:tc>
          <w:tcPr>
            <w:tcW w:type="dxa" w:w="1000"/>
          </w:tcPr>
          <w:p>
            <w:pPr>
              <w:spacing w:after="0"/>
            </w:pPr>
            <w:r>
              <w:rPr>
                <w:b w:val="false"/>
                <w:bCs w:val="false"/>
                <w:sz w:val="18"/>
                <w:szCs w:val="18"/>
              </w:rPr>
              <w:t xml:space="preserve">—</w:t>
            </w:r>
          </w:p>
        </w:tc>
      </w:tr>
      <w:tr>
        <w:tc>
          <w:tcPr>
            <w:tcW w:type="dxa" w:w="2500"/>
          </w:tcPr>
          <w:p>
            <w:pPr>
              <w:spacing w:after="0"/>
            </w:pPr>
            <w:r>
              <w:rPr>
                <w:b w:val="false"/>
                <w:bCs w:val="false"/>
                <w:sz w:val="18"/>
                <w:szCs w:val="18"/>
              </w:rPr>
              <w:t xml:space="preserve">exit d15, no refill</w:t>
            </w:r>
          </w:p>
        </w:tc>
        <w:tc>
          <w:tcPr>
            <w:tcW w:type="dxa" w:w="800"/>
          </w:tcPr>
          <w:p>
            <w:pPr>
              <w:spacing w:after="0"/>
            </w:pPr>
            <w:r>
              <w:rPr>
                <w:b w:val="false"/>
                <w:bCs w:val="false"/>
                <w:sz w:val="18"/>
                <w:szCs w:val="18"/>
              </w:rPr>
              <w:t xml:space="preserve">-1.67</w:t>
            </w:r>
          </w:p>
        </w:tc>
        <w:tc>
          <w:tcPr>
            <w:tcW w:type="dxa" w:w="1700"/>
          </w:tcPr>
          <w:p>
            <w:pPr>
              <w:spacing w:after="0"/>
            </w:pPr>
            <w:r>
              <w:rPr>
                <w:b w:val="false"/>
                <w:bCs w:val="false"/>
                <w:sz w:val="18"/>
                <w:szCs w:val="18"/>
              </w:rPr>
              <w:t xml:space="preserve">[-1.90, -1.43]</w:t>
            </w:r>
          </w:p>
        </w:tc>
        <w:tc>
          <w:tcPr>
            <w:tcW w:type="dxa" w:w="1500"/>
          </w:tcPr>
          <w:p>
            <w:pPr>
              <w:spacing w:after="0"/>
            </w:pPr>
            <w:r>
              <w:rPr>
                <w:b w:val="false"/>
                <w:bCs w:val="false"/>
                <w:sz w:val="18"/>
                <w:szCs w:val="18"/>
              </w:rPr>
              <w:t xml:space="preserve">worse</w:t>
            </w:r>
          </w:p>
        </w:tc>
        <w:tc>
          <w:tcPr>
            <w:tcW w:type="dxa" w:w="700"/>
          </w:tcPr>
          <w:p>
            <w:pPr>
              <w:spacing w:after="0"/>
            </w:pPr>
            <w:r>
              <w:rPr>
                <w:b w:val="false"/>
                <w:bCs w:val="false"/>
                <w:sz w:val="18"/>
                <w:szCs w:val="18"/>
              </w:rPr>
              <w:t xml:space="preserve">1.76</w:t>
            </w:r>
          </w:p>
        </w:tc>
        <w:tc>
          <w:tcPr>
            <w:tcW w:type="dxa" w:w="1000"/>
          </w:tcPr>
          <w:p>
            <w:pPr>
              <w:spacing w:after="0"/>
            </w:pPr>
            <w:r>
              <w:rPr>
                <w:b w:val="false"/>
                <w:bCs w:val="false"/>
                <w:sz w:val="18"/>
                <w:szCs w:val="18"/>
              </w:rPr>
              <w:t xml:space="preserve">18.6%</w:t>
            </w:r>
          </w:p>
        </w:tc>
        <w:tc>
          <w:tcPr>
            <w:tcW w:type="dxa" w:w="1000"/>
          </w:tcPr>
          <w:p>
            <w:pPr>
              <w:spacing w:after="0"/>
            </w:pPr>
            <w:r>
              <w:rPr>
                <w:b w:val="false"/>
                <w:bCs w:val="false"/>
                <w:sz w:val="18"/>
                <w:szCs w:val="18"/>
              </w:rPr>
              <w:t xml:space="preserve">—</w:t>
            </w:r>
          </w:p>
        </w:tc>
      </w:tr>
    </w:tbl>
    <w:p>
      <w:pPr>
        <w:spacing w:after="240"/>
      </w:pPr>
      <w:r>
        <w:rPr>
          <w:b w:val="false"/>
          <w:bCs w:val="false"/>
          <w:i/>
          <w:iCs/>
          <w:sz w:val="18"/>
          <w:szCs w:val="18"/>
        </w:rPr>
        <w:t xml:space="preserve">EAR (expected acceptance rate, 1 − TV between draft and target next-token distributions, averaged over drafted positions) is recorded only in the speculative arms. Derailed is the judge's flag; the reference and resample arms had 0.0%.</w:t>
      </w:r>
    </w:p>
    <w:p>
      <w:pPr>
        <w:pStyle w:val="Heading2"/>
      </w:pPr>
      <w:r>
        <w:t xml:space="preserve">Table 2. Quality deltas by domain (n = 40 per cell, 60 for code)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560"/>
        <w:gridCol w:w="1560"/>
        <w:gridCol w:w="1560"/>
      </w:tblGrid>
      <w:tr>
        <w:trPr>
          <w:tblHeader/>
        </w:trPr>
        <w:tc>
          <w:tcPr>
            <w:tcW w:type="dxa" w:w="2000"/>
            <w:shd w:fill="E7E6E6" w:val="clear"/>
          </w:tcPr>
          <w:p>
            <w:pPr>
              <w:spacing w:after="0"/>
            </w:pPr>
            <w:r>
              <w:rPr>
                <w:b/>
                <w:bCs/>
                <w:sz w:val="18"/>
                <w:szCs w:val="18"/>
              </w:rPr>
              <w:t xml:space="preserve">Arm</w:t>
            </w:r>
          </w:p>
        </w:tc>
        <w:tc>
          <w:tcPr>
            <w:tcW w:type="dxa" w:w="1560"/>
            <w:shd w:fill="E7E6E6" w:val="clear"/>
          </w:tcPr>
          <w:p>
            <w:pPr>
              <w:spacing w:after="0"/>
            </w:pPr>
            <w:r>
              <w:rPr>
                <w:b/>
                <w:bCs/>
                <w:sz w:val="18"/>
                <w:szCs w:val="18"/>
              </w:rPr>
              <w:t xml:space="preserve">prose</w:t>
            </w:r>
          </w:p>
        </w:tc>
        <w:tc>
          <w:tcPr>
            <w:tcW w:type="dxa" w:w="1560"/>
            <w:shd w:fill="E7E6E6" w:val="clear"/>
          </w:tcPr>
          <w:p>
            <w:pPr>
              <w:spacing w:after="0"/>
            </w:pPr>
            <w:r>
              <w:rPr>
                <w:b/>
                <w:bCs/>
                <w:sz w:val="18"/>
                <w:szCs w:val="18"/>
              </w:rPr>
              <w:t xml:space="preserve">code</w:t>
            </w:r>
          </w:p>
        </w:tc>
        <w:tc>
          <w:tcPr>
            <w:tcW w:type="dxa" w:w="1560"/>
            <w:shd w:fill="E7E6E6" w:val="clear"/>
          </w:tcPr>
          <w:p>
            <w:pPr>
              <w:spacing w:after="0"/>
            </w:pPr>
            <w:r>
              <w:rPr>
                <w:b/>
                <w:bCs/>
                <w:sz w:val="18"/>
                <w:szCs w:val="18"/>
              </w:rPr>
              <w:t xml:space="preserve">arith</w:t>
            </w:r>
          </w:p>
        </w:tc>
        <w:tc>
          <w:tcPr>
            <w:tcW w:type="dxa" w:w="1560"/>
            <w:shd w:fill="E7E6E6" w:val="clear"/>
          </w:tcPr>
          <w:p>
            <w:pPr>
              <w:spacing w:after="0"/>
            </w:pPr>
            <w:r>
              <w:rPr>
                <w:b/>
                <w:bCs/>
                <w:sz w:val="18"/>
                <w:szCs w:val="18"/>
              </w:rPr>
              <w:t xml:space="preserve">zh</w:t>
            </w:r>
          </w:p>
        </w:tc>
        <w:tc>
          <w:tcPr>
            <w:tcW w:type="dxa" w:w="1560"/>
            <w:shd w:fill="E7E6E6" w:val="clear"/>
          </w:tcPr>
          <w:p>
            <w:pPr>
              <w:spacing w:after="0"/>
            </w:pPr>
            <w:r>
              <w:rPr>
                <w:b/>
                <w:bCs/>
                <w:sz w:val="18"/>
                <w:szCs w:val="18"/>
              </w:rPr>
              <w:t xml:space="preserve">hard</w:t>
            </w:r>
          </w:p>
        </w:tc>
      </w:tr>
      <w:tr>
        <w:tc>
          <w:tcPr>
            <w:tcW w:type="dxa" w:w="2000"/>
          </w:tcPr>
          <w:p>
            <w:pPr>
              <w:spacing w:after="0"/>
            </w:pPr>
            <w:r>
              <w:rPr>
                <w:b w:val="false"/>
                <w:bCs w:val="false"/>
                <w:sz w:val="18"/>
                <w:szCs w:val="18"/>
              </w:rPr>
              <w:t xml:space="preserve">resample (bf16, null)</w:t>
            </w:r>
          </w:p>
        </w:tc>
        <w:tc>
          <w:tcPr>
            <w:tcW w:type="dxa" w:w="1560"/>
          </w:tcPr>
          <w:p>
            <w:pPr>
              <w:spacing w:after="0"/>
            </w:pPr>
            <w:r>
              <w:rPr>
                <w:b w:val="false"/>
                <w:bCs w:val="false"/>
                <w:sz w:val="18"/>
                <w:szCs w:val="18"/>
              </w:rPr>
              <w:t xml:space="preserve">+0.07 [-0.21, +0.36]</w:t>
            </w:r>
          </w:p>
        </w:tc>
        <w:tc>
          <w:tcPr>
            <w:tcW w:type="dxa" w:w="1560"/>
          </w:tcPr>
          <w:p>
            <w:pPr>
              <w:spacing w:after="0"/>
            </w:pPr>
            <w:r>
              <w:rPr>
                <w:b w:val="false"/>
                <w:bCs w:val="false"/>
                <w:sz w:val="18"/>
                <w:szCs w:val="18"/>
              </w:rPr>
              <w:t xml:space="preserve">+0.08 [-0.20, +0.36]</w:t>
            </w:r>
          </w:p>
        </w:tc>
        <w:tc>
          <w:tcPr>
            <w:tcW w:type="dxa" w:w="1560"/>
          </w:tcPr>
          <w:p>
            <w:pPr>
              <w:spacing w:after="0"/>
            </w:pPr>
            <w:r>
              <w:rPr>
                <w:b w:val="false"/>
                <w:bCs w:val="false"/>
                <w:sz w:val="18"/>
                <w:szCs w:val="18"/>
              </w:rPr>
              <w:t xml:space="preserve">-0.03 [-0.08, +0.03] ≡</w:t>
            </w:r>
          </w:p>
        </w:tc>
        <w:tc>
          <w:tcPr>
            <w:tcW w:type="dxa" w:w="1560"/>
          </w:tcPr>
          <w:p>
            <w:pPr>
              <w:spacing w:after="0"/>
            </w:pPr>
            <w:r>
              <w:rPr>
                <w:b w:val="false"/>
                <w:bCs w:val="false"/>
                <w:sz w:val="18"/>
                <w:szCs w:val="18"/>
              </w:rPr>
              <w:t xml:space="preserve">-0.12 [-0.40, +0.15]</w:t>
            </w:r>
          </w:p>
        </w:tc>
        <w:tc>
          <w:tcPr>
            <w:tcW w:type="dxa" w:w="1560"/>
          </w:tcPr>
          <w:p>
            <w:pPr>
              <w:spacing w:after="0"/>
            </w:pPr>
            <w:r>
              <w:rPr>
                <w:b w:val="false"/>
                <w:bCs w:val="false"/>
                <w:sz w:val="18"/>
                <w:szCs w:val="18"/>
              </w:rPr>
              <w:t xml:space="preserve">-0.33 [-0.72, +0.07]</w:t>
            </w:r>
          </w:p>
        </w:tc>
      </w:tr>
      <w:tr>
        <w:tc>
          <w:tcPr>
            <w:tcW w:type="dxa" w:w="2000"/>
          </w:tcPr>
          <w:p>
            <w:pPr>
              <w:spacing w:after="0"/>
            </w:pPr>
            <w:r>
              <w:rPr>
                <w:b w:val="false"/>
                <w:bCs w:val="false"/>
                <w:sz w:val="18"/>
                <w:szCs w:val="18"/>
              </w:rPr>
              <w:t xml:space="preserve">speculative λ=1.0 (null)</w:t>
            </w:r>
          </w:p>
        </w:tc>
        <w:tc>
          <w:tcPr>
            <w:tcW w:type="dxa" w:w="1560"/>
          </w:tcPr>
          <w:p>
            <w:pPr>
              <w:spacing w:after="0"/>
            </w:pPr>
            <w:r>
              <w:rPr>
                <w:b w:val="false"/>
                <w:bCs w:val="false"/>
                <w:sz w:val="18"/>
                <w:szCs w:val="18"/>
              </w:rPr>
              <w:t xml:space="preserve">+0.16 [-0.05, +0.37]</w:t>
            </w:r>
          </w:p>
        </w:tc>
        <w:tc>
          <w:tcPr>
            <w:tcW w:type="dxa" w:w="1560"/>
          </w:tcPr>
          <w:p>
            <w:pPr>
              <w:spacing w:after="0"/>
            </w:pPr>
            <w:r>
              <w:rPr>
                <w:b w:val="false"/>
                <w:bCs w:val="false"/>
                <w:sz w:val="18"/>
                <w:szCs w:val="18"/>
              </w:rPr>
              <w:t xml:space="preserve">+0.06 [-0.10, +0.22] ≡</w:t>
            </w:r>
          </w:p>
        </w:tc>
        <w:tc>
          <w:tcPr>
            <w:tcW w:type="dxa" w:w="1560"/>
          </w:tcPr>
          <w:p>
            <w:pPr>
              <w:spacing w:after="0"/>
            </w:pPr>
            <w:r>
              <w:rPr>
                <w:b w:val="false"/>
                <w:bCs w:val="false"/>
                <w:sz w:val="18"/>
                <w:szCs w:val="18"/>
              </w:rPr>
              <w:t xml:space="preserve">+0.01 [-0.01, +0.04] ≡</w:t>
            </w:r>
          </w:p>
        </w:tc>
        <w:tc>
          <w:tcPr>
            <w:tcW w:type="dxa" w:w="1560"/>
          </w:tcPr>
          <w:p>
            <w:pPr>
              <w:spacing w:after="0"/>
            </w:pPr>
            <w:r>
              <w:rPr>
                <w:b w:val="false"/>
                <w:bCs w:val="false"/>
                <w:sz w:val="18"/>
                <w:szCs w:val="18"/>
              </w:rPr>
              <w:t xml:space="preserve">-0.14 [-0.42, +0.14]</w:t>
            </w:r>
          </w:p>
        </w:tc>
        <w:tc>
          <w:tcPr>
            <w:tcW w:type="dxa" w:w="1560"/>
          </w:tcPr>
          <w:p>
            <w:pPr>
              <w:spacing w:after="0"/>
            </w:pPr>
            <w:r>
              <w:rPr>
                <w:b w:val="false"/>
                <w:bCs w:val="false"/>
                <w:sz w:val="18"/>
                <w:szCs w:val="18"/>
              </w:rPr>
              <w:t xml:space="preserve">+0.16 [-0.30, +0.63]</w:t>
            </w:r>
          </w:p>
        </w:tc>
      </w:tr>
      <w:tr>
        <w:tc>
          <w:tcPr>
            <w:tcW w:type="dxa" w:w="2000"/>
          </w:tcPr>
          <w:p>
            <w:pPr>
              <w:spacing w:after="0"/>
            </w:pPr>
            <w:r>
              <w:rPr>
                <w:b w:val="false"/>
                <w:bCs w:val="false"/>
                <w:sz w:val="18"/>
                <w:szCs w:val="18"/>
              </w:rPr>
              <w:t xml:space="preserve">speculative λ=0.2</w:t>
            </w:r>
          </w:p>
        </w:tc>
        <w:tc>
          <w:tcPr>
            <w:tcW w:type="dxa" w:w="1560"/>
          </w:tcPr>
          <w:p>
            <w:pPr>
              <w:spacing w:after="0"/>
            </w:pPr>
            <w:r>
              <w:rPr>
                <w:b w:val="false"/>
                <w:bCs w:val="false"/>
                <w:sz w:val="18"/>
                <w:szCs w:val="18"/>
              </w:rPr>
              <w:t xml:space="preserve">-0.09 [-0.27, +0.09] ≡</w:t>
            </w:r>
          </w:p>
        </w:tc>
        <w:tc>
          <w:tcPr>
            <w:tcW w:type="dxa" w:w="1560"/>
          </w:tcPr>
          <w:p>
            <w:pPr>
              <w:spacing w:after="0"/>
            </w:pPr>
            <w:r>
              <w:rPr>
                <w:b w:val="false"/>
                <w:bCs w:val="false"/>
                <w:sz w:val="18"/>
                <w:szCs w:val="18"/>
              </w:rPr>
              <w:t xml:space="preserve">+0.04 [-0.17, +0.25] ≡</w:t>
            </w:r>
          </w:p>
        </w:tc>
        <w:tc>
          <w:tcPr>
            <w:tcW w:type="dxa" w:w="1560"/>
          </w:tcPr>
          <w:p>
            <w:pPr>
              <w:spacing w:after="0"/>
            </w:pPr>
            <w:r>
              <w:rPr>
                <w:b w:val="false"/>
                <w:bCs w:val="false"/>
                <w:sz w:val="18"/>
                <w:szCs w:val="18"/>
              </w:rPr>
              <w:t xml:space="preserve">+0.01 [-0.01, +0.04] ≡</w:t>
            </w:r>
          </w:p>
        </w:tc>
        <w:tc>
          <w:tcPr>
            <w:tcW w:type="dxa" w:w="1560"/>
          </w:tcPr>
          <w:p>
            <w:pPr>
              <w:spacing w:after="0"/>
            </w:pPr>
            <w:r>
              <w:rPr>
                <w:b w:val="false"/>
                <w:bCs w:val="false"/>
                <w:sz w:val="18"/>
                <w:szCs w:val="18"/>
              </w:rPr>
              <w:t xml:space="preserve">-0.31 [-0.58, -0.04] ↓</w:t>
            </w:r>
          </w:p>
        </w:tc>
        <w:tc>
          <w:tcPr>
            <w:tcW w:type="dxa" w:w="1560"/>
          </w:tcPr>
          <w:p>
            <w:pPr>
              <w:spacing w:after="0"/>
            </w:pPr>
            <w:r>
              <w:rPr>
                <w:b w:val="false"/>
                <w:bCs w:val="false"/>
                <w:sz w:val="18"/>
                <w:szCs w:val="18"/>
              </w:rPr>
              <w:t xml:space="preserve">+0.21 [-0.30, +0.73]</w:t>
            </w:r>
          </w:p>
        </w:tc>
      </w:tr>
      <w:tr>
        <w:tc>
          <w:tcPr>
            <w:tcW w:type="dxa" w:w="2000"/>
          </w:tcPr>
          <w:p>
            <w:pPr>
              <w:spacing w:after="0"/>
            </w:pPr>
            <w:r>
              <w:rPr>
                <w:b w:val="false"/>
                <w:bCs w:val="false"/>
                <w:sz w:val="18"/>
                <w:szCs w:val="18"/>
              </w:rPr>
              <w:t xml:space="preserve">NF4 4-bit</w:t>
            </w:r>
          </w:p>
        </w:tc>
        <w:tc>
          <w:tcPr>
            <w:tcW w:type="dxa" w:w="1560"/>
          </w:tcPr>
          <w:p>
            <w:pPr>
              <w:spacing w:after="0"/>
            </w:pPr>
            <w:r>
              <w:rPr>
                <w:b w:val="false"/>
                <w:bCs w:val="false"/>
                <w:sz w:val="18"/>
                <w:szCs w:val="18"/>
              </w:rPr>
              <w:t xml:space="preserve">+0.09 [-0.12, +0.30] ≡</w:t>
            </w:r>
          </w:p>
        </w:tc>
        <w:tc>
          <w:tcPr>
            <w:tcW w:type="dxa" w:w="1560"/>
          </w:tcPr>
          <w:p>
            <w:pPr>
              <w:spacing w:after="0"/>
            </w:pPr>
            <w:r>
              <w:rPr>
                <w:b w:val="false"/>
                <w:bCs w:val="false"/>
                <w:sz w:val="18"/>
                <w:szCs w:val="18"/>
              </w:rPr>
              <w:t xml:space="preserve">-0.06 [-0.31, +0.19] ≡</w:t>
            </w:r>
          </w:p>
        </w:tc>
        <w:tc>
          <w:tcPr>
            <w:tcW w:type="dxa" w:w="1560"/>
          </w:tcPr>
          <w:p>
            <w:pPr>
              <w:spacing w:after="0"/>
            </w:pPr>
            <w:r>
              <w:rPr>
                <w:b w:val="false"/>
                <w:bCs w:val="false"/>
                <w:sz w:val="18"/>
                <w:szCs w:val="18"/>
              </w:rPr>
              <w:t xml:space="preserve">-0.04 [-0.14, +0.07] ≡</w:t>
            </w:r>
          </w:p>
        </w:tc>
        <w:tc>
          <w:tcPr>
            <w:tcW w:type="dxa" w:w="1560"/>
          </w:tcPr>
          <w:p>
            <w:pPr>
              <w:spacing w:after="0"/>
            </w:pPr>
            <w:r>
              <w:rPr>
                <w:b w:val="false"/>
                <w:bCs w:val="false"/>
                <w:sz w:val="18"/>
                <w:szCs w:val="18"/>
              </w:rPr>
              <w:t xml:space="preserve">-0.16 [-0.42, +0.10]</w:t>
            </w:r>
          </w:p>
        </w:tc>
        <w:tc>
          <w:tcPr>
            <w:tcW w:type="dxa" w:w="1560"/>
          </w:tcPr>
          <w:p>
            <w:pPr>
              <w:spacing w:after="0"/>
            </w:pPr>
            <w:r>
              <w:rPr>
                <w:b w:val="false"/>
                <w:bCs w:val="false"/>
                <w:sz w:val="18"/>
                <w:szCs w:val="18"/>
              </w:rPr>
              <w:t xml:space="preserve">+0.24 [-0.12, +0.59]</w:t>
            </w:r>
          </w:p>
        </w:tc>
      </w:tr>
      <w:tr>
        <w:tc>
          <w:tcPr>
            <w:tcW w:type="dxa" w:w="2000"/>
          </w:tcPr>
          <w:p>
            <w:pPr>
              <w:spacing w:after="0"/>
            </w:pPr>
            <w:r>
              <w:rPr>
                <w:b w:val="false"/>
                <w:bCs w:val="false"/>
                <w:sz w:val="18"/>
                <w:szCs w:val="18"/>
              </w:rPr>
              <w:t xml:space="preserve">HQQ 3-bit</w:t>
            </w:r>
          </w:p>
        </w:tc>
        <w:tc>
          <w:tcPr>
            <w:tcW w:type="dxa" w:w="1560"/>
          </w:tcPr>
          <w:p>
            <w:pPr>
              <w:spacing w:after="0"/>
            </w:pPr>
            <w:r>
              <w:rPr>
                <w:b w:val="false"/>
                <w:bCs w:val="false"/>
                <w:sz w:val="18"/>
                <w:szCs w:val="18"/>
              </w:rPr>
              <w:t xml:space="preserve">-0.46 [-0.78, -0.15] ↓</w:t>
            </w:r>
          </w:p>
        </w:tc>
        <w:tc>
          <w:tcPr>
            <w:tcW w:type="dxa" w:w="1560"/>
          </w:tcPr>
          <w:p>
            <w:pPr>
              <w:spacing w:after="0"/>
            </w:pPr>
            <w:r>
              <w:rPr>
                <w:b w:val="false"/>
                <w:bCs w:val="false"/>
                <w:sz w:val="18"/>
                <w:szCs w:val="18"/>
              </w:rPr>
              <w:t xml:space="preserve">-0.84 [-1.17, -0.52] ↓</w:t>
            </w:r>
          </w:p>
        </w:tc>
        <w:tc>
          <w:tcPr>
            <w:tcW w:type="dxa" w:w="1560"/>
          </w:tcPr>
          <w:p>
            <w:pPr>
              <w:spacing w:after="0"/>
            </w:pPr>
            <w:r>
              <w:rPr>
                <w:b w:val="false"/>
                <w:bCs w:val="false"/>
                <w:sz w:val="18"/>
                <w:szCs w:val="18"/>
              </w:rPr>
              <w:t xml:space="preserve">-0.09 [-0.29, +0.12] ≡</w:t>
            </w:r>
          </w:p>
        </w:tc>
        <w:tc>
          <w:tcPr>
            <w:tcW w:type="dxa" w:w="1560"/>
          </w:tcPr>
          <w:p>
            <w:pPr>
              <w:spacing w:after="0"/>
            </w:pPr>
            <w:r>
              <w:rPr>
                <w:b w:val="false"/>
                <w:bCs w:val="false"/>
                <w:sz w:val="18"/>
                <w:szCs w:val="18"/>
              </w:rPr>
              <w:t xml:space="preserve">-0.91 [-1.24, -0.58] ↓</w:t>
            </w:r>
          </w:p>
        </w:tc>
        <w:tc>
          <w:tcPr>
            <w:tcW w:type="dxa" w:w="1560"/>
          </w:tcPr>
          <w:p>
            <w:pPr>
              <w:spacing w:after="0"/>
            </w:pPr>
            <w:r>
              <w:rPr>
                <w:b w:val="false"/>
                <w:bCs w:val="false"/>
                <w:sz w:val="18"/>
                <w:szCs w:val="18"/>
              </w:rPr>
              <w:t xml:space="preserve">-1.11 [-1.54, -0.69] ↓</w:t>
            </w:r>
          </w:p>
        </w:tc>
      </w:tr>
      <w:tr>
        <w:tc>
          <w:tcPr>
            <w:tcW w:type="dxa" w:w="2000"/>
          </w:tcPr>
          <w:p>
            <w:pPr>
              <w:spacing w:after="0"/>
            </w:pPr>
            <w:r>
              <w:rPr>
                <w:b w:val="false"/>
                <w:bCs w:val="false"/>
                <w:sz w:val="18"/>
                <w:szCs w:val="18"/>
              </w:rPr>
              <w:t xml:space="preserve">exit d15, refill 16</w:t>
            </w:r>
          </w:p>
        </w:tc>
        <w:tc>
          <w:tcPr>
            <w:tcW w:type="dxa" w:w="1560"/>
          </w:tcPr>
          <w:p>
            <w:pPr>
              <w:spacing w:after="0"/>
            </w:pPr>
            <w:r>
              <w:rPr>
                <w:b w:val="false"/>
                <w:bCs w:val="false"/>
                <w:sz w:val="18"/>
                <w:szCs w:val="18"/>
              </w:rPr>
              <w:t xml:space="preserve">-0.69 [-1.01, -0.36] ↓</w:t>
            </w:r>
          </w:p>
        </w:tc>
        <w:tc>
          <w:tcPr>
            <w:tcW w:type="dxa" w:w="1560"/>
          </w:tcPr>
          <w:p>
            <w:pPr>
              <w:spacing w:after="0"/>
            </w:pPr>
            <w:r>
              <w:rPr>
                <w:b w:val="false"/>
                <w:bCs w:val="false"/>
                <w:sz w:val="18"/>
                <w:szCs w:val="18"/>
              </w:rPr>
              <w:t xml:space="preserve">-1.02 [-1.45, -0.60] ↓</w:t>
            </w:r>
          </w:p>
        </w:tc>
        <w:tc>
          <w:tcPr>
            <w:tcW w:type="dxa" w:w="1560"/>
          </w:tcPr>
          <w:p>
            <w:pPr>
              <w:spacing w:after="0"/>
            </w:pPr>
            <w:r>
              <w:rPr>
                <w:b w:val="false"/>
                <w:bCs w:val="false"/>
                <w:sz w:val="18"/>
                <w:szCs w:val="18"/>
              </w:rPr>
              <w:t xml:space="preserve">-0.44 [-0.79, -0.08] ↓</w:t>
            </w:r>
          </w:p>
        </w:tc>
        <w:tc>
          <w:tcPr>
            <w:tcW w:type="dxa" w:w="1560"/>
          </w:tcPr>
          <w:p>
            <w:pPr>
              <w:spacing w:after="0"/>
            </w:pPr>
            <w:r>
              <w:rPr>
                <w:b w:val="false"/>
                <w:bCs w:val="false"/>
                <w:sz w:val="18"/>
                <w:szCs w:val="18"/>
              </w:rPr>
              <w:t xml:space="preserve">-0.66 [-0.95, -0.38] ↓</w:t>
            </w:r>
          </w:p>
        </w:tc>
        <w:tc>
          <w:tcPr>
            <w:tcW w:type="dxa" w:w="1560"/>
          </w:tcPr>
          <w:p>
            <w:pPr>
              <w:spacing w:after="0"/>
            </w:pPr>
            <w:r>
              <w:rPr>
                <w:b w:val="false"/>
                <w:bCs w:val="false"/>
                <w:sz w:val="18"/>
                <w:szCs w:val="18"/>
              </w:rPr>
              <w:t xml:space="preserve">-2.54 [-3.04, -2.04] ↓</w:t>
            </w:r>
          </w:p>
        </w:tc>
      </w:tr>
      <w:tr>
        <w:tc>
          <w:tcPr>
            <w:tcW w:type="dxa" w:w="2000"/>
          </w:tcPr>
          <w:p>
            <w:pPr>
              <w:spacing w:after="0"/>
            </w:pPr>
            <w:r>
              <w:rPr>
                <w:b w:val="false"/>
                <w:bCs w:val="false"/>
                <w:sz w:val="18"/>
                <w:szCs w:val="18"/>
              </w:rPr>
              <w:t xml:space="preserve">exit d15, no refill</w:t>
            </w:r>
          </w:p>
        </w:tc>
        <w:tc>
          <w:tcPr>
            <w:tcW w:type="dxa" w:w="1560"/>
          </w:tcPr>
          <w:p>
            <w:pPr>
              <w:spacing w:after="0"/>
            </w:pPr>
            <w:r>
              <w:rPr>
                <w:b w:val="false"/>
                <w:bCs w:val="false"/>
                <w:sz w:val="18"/>
                <w:szCs w:val="18"/>
              </w:rPr>
              <w:t xml:space="preserve">-1.16 [-1.47, -0.85] ↓</w:t>
            </w:r>
          </w:p>
        </w:tc>
        <w:tc>
          <w:tcPr>
            <w:tcW w:type="dxa" w:w="1560"/>
          </w:tcPr>
          <w:p>
            <w:pPr>
              <w:spacing w:after="0"/>
            </w:pPr>
            <w:r>
              <w:rPr>
                <w:b w:val="false"/>
                <w:bCs w:val="false"/>
                <w:sz w:val="18"/>
                <w:szCs w:val="18"/>
              </w:rPr>
              <w:t xml:space="preserve">-1.62 [-2.10, -1.15] ↓</w:t>
            </w:r>
          </w:p>
        </w:tc>
        <w:tc>
          <w:tcPr>
            <w:tcW w:type="dxa" w:w="1560"/>
          </w:tcPr>
          <w:p>
            <w:pPr>
              <w:spacing w:after="0"/>
            </w:pPr>
            <w:r>
              <w:rPr>
                <w:b w:val="false"/>
                <w:bCs w:val="false"/>
                <w:sz w:val="18"/>
                <w:szCs w:val="18"/>
              </w:rPr>
              <w:t xml:space="preserve">-1.24 [-1.88, -0.60] ↓</w:t>
            </w:r>
          </w:p>
        </w:tc>
        <w:tc>
          <w:tcPr>
            <w:tcW w:type="dxa" w:w="1560"/>
          </w:tcPr>
          <w:p>
            <w:pPr>
              <w:spacing w:after="0"/>
            </w:pPr>
            <w:r>
              <w:rPr>
                <w:b w:val="false"/>
                <w:bCs w:val="false"/>
                <w:sz w:val="18"/>
                <w:szCs w:val="18"/>
              </w:rPr>
              <w:t xml:space="preserve">-1.04 [-1.34, -0.74] ↓</w:t>
            </w:r>
          </w:p>
        </w:tc>
        <w:tc>
          <w:tcPr>
            <w:tcW w:type="dxa" w:w="1560"/>
          </w:tcPr>
          <w:p>
            <w:pPr>
              <w:spacing w:after="0"/>
            </w:pPr>
            <w:r>
              <w:rPr>
                <w:b w:val="false"/>
                <w:bCs w:val="false"/>
                <w:sz w:val="18"/>
                <w:szCs w:val="18"/>
              </w:rPr>
              <w:t xml:space="preserve">-3.29 [-3.84, -2.74] ↓</w:t>
            </w:r>
          </w:p>
        </w:tc>
      </w:tr>
    </w:tbl>
    <w:p>
      <w:pPr>
        <w:spacing w:after="240"/>
      </w:pPr>
      <w:r>
        <w:rPr>
          <w:b w:val="false"/>
          <w:bCs w:val="false"/>
          <w:i/>
          <w:iCs/>
          <w:sz w:val="18"/>
          <w:szCs w:val="18"/>
        </w:rPr>
        <w:t xml:space="preserve">≡ equivalent at ±0.3; ↓ significantly worse; no mark = interval too wide to decide at this n. Arithmetic is at ceiling (every reference rated 7), so its judged cells carry little information; see Table 3.</w:t>
      </w:r>
    </w:p>
    <w:p>
      <w:pPr>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0400"/>
                    </a:xfrm>
                    <a:prstGeom prst="rect">
                      <a:avLst/>
                    </a:prstGeom>
                  </pic:spPr>
                </pic:pic>
              </a:graphicData>
            </a:graphic>
          </wp:inline>
        </w:drawing>
      </w:r>
    </w:p>
    <w:p>
      <w:pPr>
        <w:spacing w:after="240"/>
      </w:pPr>
      <w:r>
        <w:rPr>
          <w:b w:val="false"/>
          <w:bCs w:val="false"/>
          <w:i/>
          <w:iCs/>
          <w:sz w:val="18"/>
          <w:szCs w:val="18"/>
        </w:rPr>
        <w:t xml:space="preserve">Figure 1. The quality surface: judged delta with 95% CI for each arm, by domain and pooled. Grey band is the ±0.3 equivalence bound.</w:t>
      </w:r>
    </w:p>
    <w:p>
      <w:pPr>
        <w:pStyle w:val="Heading2"/>
      </w:pPr>
      <w:r>
        <w:t xml:space="preserve">Table 3. Execution-grounded correctness (hard-verifiable and arithmetic domains)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500"/>
        <w:gridCol w:w="1300"/>
        <w:gridCol w:w="1800"/>
        <w:gridCol w:w="1800"/>
      </w:tblGrid>
      <w:tr>
        <w:trPr>
          <w:tblHeader/>
        </w:trPr>
        <w:tc>
          <w:tcPr>
            <w:tcW w:type="dxa" w:w="2100"/>
            <w:shd w:fill="E7E6E6" w:val="clear"/>
          </w:tcPr>
          <w:p>
            <w:pPr>
              <w:spacing w:after="0"/>
            </w:pPr>
            <w:r>
              <w:rPr>
                <w:b/>
                <w:bCs/>
                <w:sz w:val="18"/>
                <w:szCs w:val="18"/>
              </w:rPr>
              <w:t xml:space="preserve">Arm</w:t>
            </w:r>
          </w:p>
        </w:tc>
        <w:tc>
          <w:tcPr>
            <w:tcW w:type="dxa" w:w="1200"/>
            <w:shd w:fill="E7E6E6" w:val="clear"/>
          </w:tcPr>
          <w:p>
            <w:pPr>
              <w:spacing w:after="0"/>
            </w:pPr>
            <w:r>
              <w:rPr>
                <w:b/>
                <w:bCs/>
                <w:sz w:val="18"/>
                <w:szCs w:val="18"/>
              </w:rPr>
              <w:t xml:space="preserve">Math correct</w:t>
            </w:r>
          </w:p>
        </w:tc>
        <w:tc>
          <w:tcPr>
            <w:tcW w:type="dxa" w:w="1500"/>
            <w:shd w:fill="E7E6E6" w:val="clear"/>
          </w:tcPr>
          <w:p>
            <w:pPr>
              <w:spacing w:after="0"/>
            </w:pPr>
            <w:r>
              <w:rPr>
                <w:b/>
                <w:bCs/>
                <w:sz w:val="18"/>
                <w:szCs w:val="18"/>
              </w:rPr>
              <w:t xml:space="preserve">Code items passing all tests</w:t>
            </w:r>
          </w:p>
        </w:tc>
        <w:tc>
          <w:tcPr>
            <w:tcW w:type="dxa" w:w="1300"/>
            <w:shd w:fill="E7E6E6" w:val="clear"/>
          </w:tcPr>
          <w:p>
            <w:pPr>
              <w:spacing w:after="0"/>
            </w:pPr>
            <w:r>
              <w:rPr>
                <w:b/>
                <w:bCs/>
                <w:sz w:val="18"/>
                <w:szCs w:val="18"/>
              </w:rPr>
              <w:t xml:space="preserve">Code tests passed</w:t>
            </w:r>
          </w:p>
        </w:tc>
        <w:tc>
          <w:tcPr>
            <w:tcW w:type="dxa" w:w="1800"/>
            <w:shd w:fill="E7E6E6" w:val="clear"/>
          </w:tcPr>
          <w:p>
            <w:pPr>
              <w:spacing w:after="0"/>
            </w:pPr>
            <w:r>
              <w:rPr>
                <w:b/>
                <w:bCs/>
                <w:sz w:val="18"/>
                <w:szCs w:val="18"/>
              </w:rPr>
              <w:t xml:space="preserve">Arith: same outcome as reference</w:t>
            </w:r>
          </w:p>
        </w:tc>
        <w:tc>
          <w:tcPr>
            <w:tcW w:type="dxa" w:w="1800"/>
            <w:shd w:fill="E7E6E6" w:val="clear"/>
          </w:tcPr>
          <w:p>
            <w:pPr>
              <w:spacing w:after="0"/>
            </w:pPr>
            <w:r>
              <w:rPr>
                <w:b/>
                <w:bCs/>
                <w:sz w:val="18"/>
                <w:szCs w:val="18"/>
              </w:rPr>
              <w:t xml:space="preserve">Hard: same outcome as reference</w:t>
            </w:r>
          </w:p>
        </w:tc>
      </w:tr>
      <w:tr>
        <w:tc>
          <w:tcPr>
            <w:tcW w:type="dxa" w:w="2100"/>
          </w:tcPr>
          <w:p>
            <w:pPr>
              <w:spacing w:after="0"/>
            </w:pPr>
            <w:r>
              <w:rPr>
                <w:b w:val="false"/>
                <w:bCs w:val="false"/>
                <w:sz w:val="18"/>
                <w:szCs w:val="18"/>
              </w:rPr>
              <w:t xml:space="preserve">reference (bf16)</w:t>
            </w:r>
          </w:p>
        </w:tc>
        <w:tc>
          <w:tcPr>
            <w:tcW w:type="dxa" w:w="1200"/>
          </w:tcPr>
          <w:p>
            <w:pPr>
              <w:spacing w:after="0"/>
            </w:pPr>
            <w:r>
              <w:rPr>
                <w:b w:val="false"/>
                <w:bCs w:val="false"/>
                <w:sz w:val="18"/>
                <w:szCs w:val="18"/>
              </w:rPr>
              <w:t xml:space="preserve">19/27</w:t>
            </w:r>
          </w:p>
        </w:tc>
        <w:tc>
          <w:tcPr>
            <w:tcW w:type="dxa" w:w="1500"/>
          </w:tcPr>
          <w:p>
            <w:pPr>
              <w:spacing w:after="0"/>
            </w:pPr>
            <w:r>
              <w:rPr>
                <w:b w:val="false"/>
                <w:bCs w:val="false"/>
                <w:sz w:val="18"/>
                <w:szCs w:val="18"/>
              </w:rPr>
              <w:t xml:space="preserve">8/13</w:t>
            </w:r>
          </w:p>
        </w:tc>
        <w:tc>
          <w:tcPr>
            <w:tcW w:type="dxa" w:w="1300"/>
          </w:tcPr>
          <w:p>
            <w:pPr>
              <w:spacing w:after="0"/>
            </w:pPr>
            <w:r>
              <w:rPr>
                <w:b w:val="false"/>
                <w:bCs w:val="false"/>
                <w:sz w:val="18"/>
                <w:szCs w:val="18"/>
              </w:rPr>
              <w:t xml:space="preserve">30/48</w:t>
            </w:r>
          </w:p>
        </w:tc>
        <w:tc>
          <w:tcPr>
            <w:tcW w:type="dxa" w:w="1800"/>
          </w:tcPr>
          <w:p>
            <w:pPr>
              <w:spacing w:after="0"/>
            </w:pPr>
            <w:r>
              <w:rPr>
                <w:b w:val="false"/>
                <w:bCs w:val="false"/>
                <w:sz w:val="18"/>
                <w:szCs w:val="18"/>
              </w:rPr>
              <w:t xml:space="preserve">—</w:t>
            </w:r>
          </w:p>
        </w:tc>
        <w:tc>
          <w:tcPr>
            <w:tcW w:type="dxa" w:w="1800"/>
          </w:tcPr>
          <w:p>
            <w:pPr>
              <w:spacing w:after="0"/>
            </w:pPr>
            <w:r>
              <w:rPr>
                <w:b w:val="false"/>
                <w:bCs w:val="false"/>
                <w:sz w:val="18"/>
                <w:szCs w:val="18"/>
              </w:rPr>
              <w:t xml:space="preserve">—</w:t>
            </w:r>
          </w:p>
        </w:tc>
      </w:tr>
      <w:tr>
        <w:tc>
          <w:tcPr>
            <w:tcW w:type="dxa" w:w="2100"/>
          </w:tcPr>
          <w:p>
            <w:pPr>
              <w:spacing w:after="0"/>
            </w:pPr>
            <w:r>
              <w:rPr>
                <w:b w:val="false"/>
                <w:bCs w:val="false"/>
                <w:sz w:val="18"/>
                <w:szCs w:val="18"/>
              </w:rPr>
              <w:t xml:space="preserve">resample (bf16, null)</w:t>
            </w:r>
          </w:p>
        </w:tc>
        <w:tc>
          <w:tcPr>
            <w:tcW w:type="dxa" w:w="1200"/>
          </w:tcPr>
          <w:p>
            <w:pPr>
              <w:spacing w:after="0"/>
            </w:pPr>
            <w:r>
              <w:rPr>
                <w:b w:val="false"/>
                <w:bCs w:val="false"/>
                <w:sz w:val="18"/>
                <w:szCs w:val="18"/>
              </w:rPr>
              <w:t xml:space="preserve">15/27</w:t>
            </w:r>
          </w:p>
        </w:tc>
        <w:tc>
          <w:tcPr>
            <w:tcW w:type="dxa" w:w="1500"/>
          </w:tcPr>
          <w:p>
            <w:pPr>
              <w:spacing w:after="0"/>
            </w:pPr>
            <w:r>
              <w:rPr>
                <w:b w:val="false"/>
                <w:bCs w:val="false"/>
                <w:sz w:val="18"/>
                <w:szCs w:val="18"/>
              </w:rPr>
              <w:t xml:space="preserve">7/13</w:t>
            </w:r>
          </w:p>
        </w:tc>
        <w:tc>
          <w:tcPr>
            <w:tcW w:type="dxa" w:w="1300"/>
          </w:tcPr>
          <w:p>
            <w:pPr>
              <w:spacing w:after="0"/>
            </w:pPr>
            <w:r>
              <w:rPr>
                <w:b w:val="false"/>
                <w:bCs w:val="false"/>
                <w:sz w:val="18"/>
                <w:szCs w:val="18"/>
              </w:rPr>
              <w:t xml:space="preserve">30/48</w:t>
            </w:r>
          </w:p>
        </w:tc>
        <w:tc>
          <w:tcPr>
            <w:tcW w:type="dxa" w:w="1800"/>
          </w:tcPr>
          <w:p>
            <w:pPr>
              <w:spacing w:after="0"/>
            </w:pPr>
            <w:r>
              <w:rPr>
                <w:b w:val="false"/>
                <w:bCs w:val="false"/>
                <w:sz w:val="18"/>
                <w:szCs w:val="18"/>
              </w:rPr>
              <w:t xml:space="preserve">40/40</w:t>
            </w:r>
          </w:p>
        </w:tc>
        <w:tc>
          <w:tcPr>
            <w:tcW w:type="dxa" w:w="1800"/>
          </w:tcPr>
          <w:p>
            <w:pPr>
              <w:spacing w:after="0"/>
            </w:pPr>
            <w:r>
              <w:rPr>
                <w:b w:val="false"/>
                <w:bCs w:val="false"/>
                <w:sz w:val="18"/>
                <w:szCs w:val="18"/>
              </w:rPr>
              <w:t xml:space="preserve">31/40</w:t>
            </w:r>
          </w:p>
        </w:tc>
      </w:tr>
      <w:tr>
        <w:tc>
          <w:tcPr>
            <w:tcW w:type="dxa" w:w="2100"/>
          </w:tcPr>
          <w:p>
            <w:pPr>
              <w:spacing w:after="0"/>
            </w:pPr>
            <w:r>
              <w:rPr>
                <w:b w:val="false"/>
                <w:bCs w:val="false"/>
                <w:sz w:val="18"/>
                <w:szCs w:val="18"/>
              </w:rPr>
              <w:t xml:space="preserve">speculative λ=1.0 (null)</w:t>
            </w:r>
          </w:p>
        </w:tc>
        <w:tc>
          <w:tcPr>
            <w:tcW w:type="dxa" w:w="1200"/>
          </w:tcPr>
          <w:p>
            <w:pPr>
              <w:spacing w:after="0"/>
            </w:pPr>
            <w:r>
              <w:rPr>
                <w:b w:val="false"/>
                <w:bCs w:val="false"/>
                <w:sz w:val="18"/>
                <w:szCs w:val="18"/>
              </w:rPr>
              <w:t xml:space="preserve">18/27</w:t>
            </w:r>
          </w:p>
        </w:tc>
        <w:tc>
          <w:tcPr>
            <w:tcW w:type="dxa" w:w="1500"/>
          </w:tcPr>
          <w:p>
            <w:pPr>
              <w:spacing w:after="0"/>
            </w:pPr>
            <w:r>
              <w:rPr>
                <w:b w:val="false"/>
                <w:bCs w:val="false"/>
                <w:sz w:val="18"/>
                <w:szCs w:val="18"/>
              </w:rPr>
              <w:t xml:space="preserve">8/13</w:t>
            </w:r>
          </w:p>
        </w:tc>
        <w:tc>
          <w:tcPr>
            <w:tcW w:type="dxa" w:w="1300"/>
          </w:tcPr>
          <w:p>
            <w:pPr>
              <w:spacing w:after="0"/>
            </w:pPr>
            <w:r>
              <w:rPr>
                <w:b w:val="false"/>
                <w:bCs w:val="false"/>
                <w:sz w:val="18"/>
                <w:szCs w:val="18"/>
              </w:rPr>
              <w:t xml:space="preserve">29/48</w:t>
            </w:r>
          </w:p>
        </w:tc>
        <w:tc>
          <w:tcPr>
            <w:tcW w:type="dxa" w:w="1800"/>
          </w:tcPr>
          <w:p>
            <w:pPr>
              <w:spacing w:after="0"/>
            </w:pPr>
            <w:r>
              <w:rPr>
                <w:b w:val="false"/>
                <w:bCs w:val="false"/>
                <w:sz w:val="18"/>
                <w:szCs w:val="18"/>
              </w:rPr>
              <w:t xml:space="preserve">40/40</w:t>
            </w:r>
          </w:p>
        </w:tc>
        <w:tc>
          <w:tcPr>
            <w:tcW w:type="dxa" w:w="1800"/>
          </w:tcPr>
          <w:p>
            <w:pPr>
              <w:spacing w:after="0"/>
            </w:pPr>
            <w:r>
              <w:rPr>
                <w:b w:val="false"/>
                <w:bCs w:val="false"/>
                <w:sz w:val="18"/>
                <w:szCs w:val="18"/>
              </w:rPr>
              <w:t xml:space="preserve">31/40</w:t>
            </w:r>
          </w:p>
        </w:tc>
      </w:tr>
      <w:tr>
        <w:tc>
          <w:tcPr>
            <w:tcW w:type="dxa" w:w="2100"/>
          </w:tcPr>
          <w:p>
            <w:pPr>
              <w:spacing w:after="0"/>
            </w:pPr>
            <w:r>
              <w:rPr>
                <w:b w:val="false"/>
                <w:bCs w:val="false"/>
                <w:sz w:val="18"/>
                <w:szCs w:val="18"/>
              </w:rPr>
              <w:t xml:space="preserve">speculative λ=0.2</w:t>
            </w:r>
          </w:p>
        </w:tc>
        <w:tc>
          <w:tcPr>
            <w:tcW w:type="dxa" w:w="1200"/>
          </w:tcPr>
          <w:p>
            <w:pPr>
              <w:spacing w:after="0"/>
            </w:pPr>
            <w:r>
              <w:rPr>
                <w:b w:val="false"/>
                <w:bCs w:val="false"/>
                <w:sz w:val="18"/>
                <w:szCs w:val="18"/>
              </w:rPr>
              <w:t xml:space="preserve">18/27</w:t>
            </w:r>
          </w:p>
        </w:tc>
        <w:tc>
          <w:tcPr>
            <w:tcW w:type="dxa" w:w="1500"/>
          </w:tcPr>
          <w:p>
            <w:pPr>
              <w:spacing w:after="0"/>
            </w:pPr>
            <w:r>
              <w:rPr>
                <w:b w:val="false"/>
                <w:bCs w:val="false"/>
                <w:sz w:val="18"/>
                <w:szCs w:val="18"/>
              </w:rPr>
              <w:t xml:space="preserve">9/13</w:t>
            </w:r>
          </w:p>
        </w:tc>
        <w:tc>
          <w:tcPr>
            <w:tcW w:type="dxa" w:w="1300"/>
          </w:tcPr>
          <w:p>
            <w:pPr>
              <w:spacing w:after="0"/>
            </w:pPr>
            <w:r>
              <w:rPr>
                <w:b w:val="false"/>
                <w:bCs w:val="false"/>
                <w:sz w:val="18"/>
                <w:szCs w:val="18"/>
              </w:rPr>
              <w:t xml:space="preserve">37/48</w:t>
            </w:r>
          </w:p>
        </w:tc>
        <w:tc>
          <w:tcPr>
            <w:tcW w:type="dxa" w:w="1800"/>
          </w:tcPr>
          <w:p>
            <w:pPr>
              <w:spacing w:after="0"/>
            </w:pPr>
            <w:r>
              <w:rPr>
                <w:b w:val="false"/>
                <w:bCs w:val="false"/>
                <w:sz w:val="18"/>
                <w:szCs w:val="18"/>
              </w:rPr>
              <w:t xml:space="preserve">40/40</w:t>
            </w:r>
          </w:p>
        </w:tc>
        <w:tc>
          <w:tcPr>
            <w:tcW w:type="dxa" w:w="1800"/>
          </w:tcPr>
          <w:p>
            <w:pPr>
              <w:spacing w:after="0"/>
            </w:pPr>
            <w:r>
              <w:rPr>
                <w:b w:val="false"/>
                <w:bCs w:val="false"/>
                <w:sz w:val="18"/>
                <w:szCs w:val="18"/>
              </w:rPr>
              <w:t xml:space="preserve">30/40</w:t>
            </w:r>
          </w:p>
        </w:tc>
      </w:tr>
      <w:tr>
        <w:tc>
          <w:tcPr>
            <w:tcW w:type="dxa" w:w="2100"/>
          </w:tcPr>
          <w:p>
            <w:pPr>
              <w:spacing w:after="0"/>
            </w:pPr>
            <w:r>
              <w:rPr>
                <w:b w:val="false"/>
                <w:bCs w:val="false"/>
                <w:sz w:val="18"/>
                <w:szCs w:val="18"/>
              </w:rPr>
              <w:t xml:space="preserve">NF4 4-bit</w:t>
            </w:r>
          </w:p>
        </w:tc>
        <w:tc>
          <w:tcPr>
            <w:tcW w:type="dxa" w:w="1200"/>
          </w:tcPr>
          <w:p>
            <w:pPr>
              <w:spacing w:after="0"/>
            </w:pPr>
            <w:r>
              <w:rPr>
                <w:b w:val="false"/>
                <w:bCs w:val="false"/>
                <w:sz w:val="18"/>
                <w:szCs w:val="18"/>
              </w:rPr>
              <w:t xml:space="preserve">18/27</w:t>
            </w:r>
          </w:p>
        </w:tc>
        <w:tc>
          <w:tcPr>
            <w:tcW w:type="dxa" w:w="1500"/>
          </w:tcPr>
          <w:p>
            <w:pPr>
              <w:spacing w:after="0"/>
            </w:pPr>
            <w:r>
              <w:rPr>
                <w:b w:val="false"/>
                <w:bCs w:val="false"/>
                <w:sz w:val="18"/>
                <w:szCs w:val="18"/>
              </w:rPr>
              <w:t xml:space="preserve">6/13</w:t>
            </w:r>
          </w:p>
        </w:tc>
        <w:tc>
          <w:tcPr>
            <w:tcW w:type="dxa" w:w="1300"/>
          </w:tcPr>
          <w:p>
            <w:pPr>
              <w:spacing w:after="0"/>
            </w:pPr>
            <w:r>
              <w:rPr>
                <w:b w:val="false"/>
                <w:bCs w:val="false"/>
                <w:sz w:val="18"/>
                <w:szCs w:val="18"/>
              </w:rPr>
              <w:t xml:space="preserve">27/48</w:t>
            </w:r>
          </w:p>
        </w:tc>
        <w:tc>
          <w:tcPr>
            <w:tcW w:type="dxa" w:w="1800"/>
          </w:tcPr>
          <w:p>
            <w:pPr>
              <w:spacing w:after="0"/>
            </w:pPr>
            <w:r>
              <w:rPr>
                <w:b w:val="false"/>
                <w:bCs w:val="false"/>
                <w:sz w:val="18"/>
                <w:szCs w:val="18"/>
              </w:rPr>
              <w:t xml:space="preserve">40/40</w:t>
            </w:r>
          </w:p>
        </w:tc>
        <w:tc>
          <w:tcPr>
            <w:tcW w:type="dxa" w:w="1800"/>
          </w:tcPr>
          <w:p>
            <w:pPr>
              <w:spacing w:after="0"/>
            </w:pPr>
            <w:r>
              <w:rPr>
                <w:b w:val="false"/>
                <w:bCs w:val="false"/>
                <w:sz w:val="18"/>
                <w:szCs w:val="18"/>
              </w:rPr>
              <w:t xml:space="preserve">35/40</w:t>
            </w:r>
          </w:p>
        </w:tc>
      </w:tr>
      <w:tr>
        <w:tc>
          <w:tcPr>
            <w:tcW w:type="dxa" w:w="2100"/>
          </w:tcPr>
          <w:p>
            <w:pPr>
              <w:spacing w:after="0"/>
            </w:pPr>
            <w:r>
              <w:rPr>
                <w:b w:val="false"/>
                <w:bCs w:val="false"/>
                <w:sz w:val="18"/>
                <w:szCs w:val="18"/>
              </w:rPr>
              <w:t xml:space="preserve">HQQ 3-bit</w:t>
            </w:r>
          </w:p>
        </w:tc>
        <w:tc>
          <w:tcPr>
            <w:tcW w:type="dxa" w:w="1200"/>
          </w:tcPr>
          <w:p>
            <w:pPr>
              <w:spacing w:after="0"/>
            </w:pPr>
            <w:r>
              <w:rPr>
                <w:b w:val="false"/>
                <w:bCs w:val="false"/>
                <w:sz w:val="18"/>
                <w:szCs w:val="18"/>
              </w:rPr>
              <w:t xml:space="preserve">12/27</w:t>
            </w:r>
          </w:p>
        </w:tc>
        <w:tc>
          <w:tcPr>
            <w:tcW w:type="dxa" w:w="1500"/>
          </w:tcPr>
          <w:p>
            <w:pPr>
              <w:spacing w:after="0"/>
            </w:pPr>
            <w:r>
              <w:rPr>
                <w:b w:val="false"/>
                <w:bCs w:val="false"/>
                <w:sz w:val="18"/>
                <w:szCs w:val="18"/>
              </w:rPr>
              <w:t xml:space="preserve">2/13</w:t>
            </w:r>
          </w:p>
        </w:tc>
        <w:tc>
          <w:tcPr>
            <w:tcW w:type="dxa" w:w="1300"/>
          </w:tcPr>
          <w:p>
            <w:pPr>
              <w:spacing w:after="0"/>
            </w:pPr>
            <w:r>
              <w:rPr>
                <w:b w:val="false"/>
                <w:bCs w:val="false"/>
                <w:sz w:val="18"/>
                <w:szCs w:val="18"/>
              </w:rPr>
              <w:t xml:space="preserve">16/48</w:t>
            </w:r>
          </w:p>
        </w:tc>
        <w:tc>
          <w:tcPr>
            <w:tcW w:type="dxa" w:w="1800"/>
          </w:tcPr>
          <w:p>
            <w:pPr>
              <w:spacing w:after="0"/>
            </w:pPr>
            <w:r>
              <w:rPr>
                <w:b w:val="false"/>
                <w:bCs w:val="false"/>
                <w:sz w:val="18"/>
                <w:szCs w:val="18"/>
              </w:rPr>
              <w:t xml:space="preserve">39/40</w:t>
            </w:r>
          </w:p>
        </w:tc>
        <w:tc>
          <w:tcPr>
            <w:tcW w:type="dxa" w:w="1800"/>
          </w:tcPr>
          <w:p>
            <w:pPr>
              <w:spacing w:after="0"/>
            </w:pPr>
            <w:r>
              <w:rPr>
                <w:b w:val="false"/>
                <w:bCs w:val="false"/>
                <w:sz w:val="18"/>
                <w:szCs w:val="18"/>
              </w:rPr>
              <w:t xml:space="preserve">27/40</w:t>
            </w:r>
          </w:p>
        </w:tc>
      </w:tr>
      <w:tr>
        <w:tc>
          <w:tcPr>
            <w:tcW w:type="dxa" w:w="2100"/>
          </w:tcPr>
          <w:p>
            <w:pPr>
              <w:spacing w:after="0"/>
            </w:pPr>
            <w:r>
              <w:rPr>
                <w:b w:val="false"/>
                <w:bCs w:val="false"/>
                <w:sz w:val="18"/>
                <w:szCs w:val="18"/>
              </w:rPr>
              <w:t xml:space="preserve">exit d15, refill 16</w:t>
            </w:r>
          </w:p>
        </w:tc>
        <w:tc>
          <w:tcPr>
            <w:tcW w:type="dxa" w:w="1200"/>
          </w:tcPr>
          <w:p>
            <w:pPr>
              <w:spacing w:after="0"/>
            </w:pPr>
            <w:r>
              <w:rPr>
                <w:b w:val="false"/>
                <w:bCs w:val="false"/>
                <w:sz w:val="18"/>
                <w:szCs w:val="18"/>
              </w:rPr>
              <w:t xml:space="preserve">6/27</w:t>
            </w:r>
          </w:p>
        </w:tc>
        <w:tc>
          <w:tcPr>
            <w:tcW w:type="dxa" w:w="1500"/>
          </w:tcPr>
          <w:p>
            <w:pPr>
              <w:spacing w:after="0"/>
            </w:pPr>
            <w:r>
              <w:rPr>
                <w:b w:val="false"/>
                <w:bCs w:val="false"/>
                <w:sz w:val="18"/>
                <w:szCs w:val="18"/>
              </w:rPr>
              <w:t xml:space="preserve">0/13</w:t>
            </w:r>
          </w:p>
        </w:tc>
        <w:tc>
          <w:tcPr>
            <w:tcW w:type="dxa" w:w="1300"/>
          </w:tcPr>
          <w:p>
            <w:pPr>
              <w:spacing w:after="0"/>
            </w:pPr>
            <w:r>
              <w:rPr>
                <w:b w:val="false"/>
                <w:bCs w:val="false"/>
                <w:sz w:val="18"/>
                <w:szCs w:val="18"/>
              </w:rPr>
              <w:t xml:space="preserve">15/48</w:t>
            </w:r>
          </w:p>
        </w:tc>
        <w:tc>
          <w:tcPr>
            <w:tcW w:type="dxa" w:w="1800"/>
          </w:tcPr>
          <w:p>
            <w:pPr>
              <w:spacing w:after="0"/>
            </w:pPr>
            <w:r>
              <w:rPr>
                <w:b w:val="false"/>
                <w:bCs w:val="false"/>
                <w:sz w:val="18"/>
                <w:szCs w:val="18"/>
              </w:rPr>
              <w:t xml:space="preserve">40/40</w:t>
            </w:r>
          </w:p>
        </w:tc>
        <w:tc>
          <w:tcPr>
            <w:tcW w:type="dxa" w:w="1800"/>
          </w:tcPr>
          <w:p>
            <w:pPr>
              <w:spacing w:after="0"/>
            </w:pPr>
            <w:r>
              <w:rPr>
                <w:b w:val="false"/>
                <w:bCs w:val="false"/>
                <w:sz w:val="18"/>
                <w:szCs w:val="18"/>
              </w:rPr>
              <w:t xml:space="preserve">19/40</w:t>
            </w:r>
          </w:p>
        </w:tc>
      </w:tr>
      <w:tr>
        <w:tc>
          <w:tcPr>
            <w:tcW w:type="dxa" w:w="2100"/>
          </w:tcPr>
          <w:p>
            <w:pPr>
              <w:spacing w:after="0"/>
            </w:pPr>
            <w:r>
              <w:rPr>
                <w:b w:val="false"/>
                <w:bCs w:val="false"/>
                <w:sz w:val="18"/>
                <w:szCs w:val="18"/>
              </w:rPr>
              <w:t xml:space="preserve">exit d15, no refill</w:t>
            </w:r>
          </w:p>
        </w:tc>
        <w:tc>
          <w:tcPr>
            <w:tcW w:type="dxa" w:w="1200"/>
          </w:tcPr>
          <w:p>
            <w:pPr>
              <w:spacing w:after="0"/>
            </w:pPr>
            <w:r>
              <w:rPr>
                <w:b w:val="false"/>
                <w:bCs w:val="false"/>
                <w:sz w:val="18"/>
                <w:szCs w:val="18"/>
              </w:rPr>
              <w:t xml:space="preserve">4/27</w:t>
            </w:r>
          </w:p>
        </w:tc>
        <w:tc>
          <w:tcPr>
            <w:tcW w:type="dxa" w:w="1500"/>
          </w:tcPr>
          <w:p>
            <w:pPr>
              <w:spacing w:after="0"/>
            </w:pPr>
            <w:r>
              <w:rPr>
                <w:b w:val="false"/>
                <w:bCs w:val="false"/>
                <w:sz w:val="18"/>
                <w:szCs w:val="18"/>
              </w:rPr>
              <w:t xml:space="preserve">0/13</w:t>
            </w:r>
          </w:p>
        </w:tc>
        <w:tc>
          <w:tcPr>
            <w:tcW w:type="dxa" w:w="1300"/>
          </w:tcPr>
          <w:p>
            <w:pPr>
              <w:spacing w:after="0"/>
            </w:pPr>
            <w:r>
              <w:rPr>
                <w:b w:val="false"/>
                <w:bCs w:val="false"/>
                <w:sz w:val="18"/>
                <w:szCs w:val="18"/>
              </w:rPr>
              <w:t xml:space="preserve">7/48</w:t>
            </w:r>
          </w:p>
        </w:tc>
        <w:tc>
          <w:tcPr>
            <w:tcW w:type="dxa" w:w="1800"/>
          </w:tcPr>
          <w:p>
            <w:pPr>
              <w:spacing w:after="0"/>
            </w:pPr>
            <w:r>
              <w:rPr>
                <w:b w:val="false"/>
                <w:bCs w:val="false"/>
                <w:sz w:val="18"/>
                <w:szCs w:val="18"/>
              </w:rPr>
              <w:t xml:space="preserve">32/40</w:t>
            </w:r>
          </w:p>
        </w:tc>
        <w:tc>
          <w:tcPr>
            <w:tcW w:type="dxa" w:w="1800"/>
          </w:tcPr>
          <w:p>
            <w:pPr>
              <w:spacing w:after="0"/>
            </w:pPr>
            <w:r>
              <w:rPr>
                <w:b w:val="false"/>
                <w:bCs w:val="false"/>
                <w:sz w:val="18"/>
                <w:szCs w:val="18"/>
              </w:rPr>
              <w:t xml:space="preserve">15/40</w:t>
            </w:r>
          </w:p>
        </w:tc>
      </w:tr>
    </w:tbl>
    <w:p>
      <w:pPr>
        <w:spacing w:after="240"/>
      </w:pPr>
      <w:r>
        <w:rPr>
          <w:b w:val="false"/>
          <w:bCs w:val="false"/>
          <w:i/>
          <w:iCs/>
          <w:sz w:val="18"/>
          <w:szCs w:val="18"/>
        </w:rPr>
        <w:t xml:space="preserve">Math: 27 problems with a computed ground truth, checked against the "Final answer" line. Code: 13 functions run against 48 hidden assert tests in an isolated subprocess, after stripping the model's own asserts. "Same outcome" counts items whose correctness matches the reference's on the same prompt (the resample row is the same-model floor for that agreement).</w:t>
      </w:r>
    </w:p>
    <w:p>
      <w:pPr>
        <w:pStyle w:val="Heading2"/>
      </w:pPr>
      <w:r>
        <w:t xml:space="preserve">Table 4. The instrument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E7E6E6" w:val="clear"/>
          </w:tcPr>
          <w:p>
            <w:pPr>
              <w:spacing w:after="0"/>
            </w:pPr>
            <w:r>
              <w:rPr>
                <w:b/>
                <w:bCs/>
                <w:sz w:val="18"/>
                <w:szCs w:val="18"/>
              </w:rPr>
              <w:t xml:space="preserve">Quantity</w:t>
            </w:r>
          </w:p>
        </w:tc>
        <w:tc>
          <w:tcPr>
            <w:tcW w:type="dxa" w:w="6400"/>
            <w:shd w:fill="E7E6E6" w:val="clear"/>
          </w:tcPr>
          <w:p>
            <w:pPr>
              <w:spacing w:after="0"/>
            </w:pPr>
            <w:r>
              <w:rPr>
                <w:b/>
                <w:bCs/>
                <w:sz w:val="18"/>
                <w:szCs w:val="18"/>
              </w:rPr>
              <w:t xml:space="preserve">Value</w:t>
            </w:r>
          </w:p>
        </w:tc>
      </w:tr>
      <w:tr>
        <w:tc>
          <w:tcPr>
            <w:tcW w:type="dxa" w:w="3200"/>
          </w:tcPr>
          <w:p>
            <w:pPr>
              <w:spacing w:after="0"/>
            </w:pPr>
            <w:r>
              <w:rPr>
                <w:b w:val="false"/>
                <w:bCs w:val="false"/>
                <w:sz w:val="18"/>
                <w:szCs w:val="18"/>
              </w:rPr>
              <w:t xml:space="preserve">Same text judged twice (n=352)</w:t>
            </w:r>
          </w:p>
        </w:tc>
        <w:tc>
          <w:tcPr>
            <w:tcW w:type="dxa" w:w="6400"/>
          </w:tcPr>
          <w:p>
            <w:pPr>
              <w:spacing w:after="0"/>
            </w:pPr>
            <w:r>
              <w:rPr>
                <w:b w:val="false"/>
                <w:bCs w:val="false"/>
                <w:sz w:val="18"/>
                <w:szCs w:val="18"/>
              </w:rPr>
              <w:t xml:space="preserve">exact agreement 86%; within one point 100%; s.d. of difference 0.37</w:t>
            </w:r>
          </w:p>
        </w:tc>
      </w:tr>
      <w:tr>
        <w:tc>
          <w:tcPr>
            <w:tcW w:type="dxa" w:w="3200"/>
          </w:tcPr>
          <w:p>
            <w:pPr>
              <w:spacing w:after="0"/>
            </w:pPr>
            <w:r>
              <w:rPr>
                <w:b w:val="false"/>
                <w:bCs w:val="false"/>
                <w:sz w:val="18"/>
                <w:szCs w:val="18"/>
              </w:rPr>
              <w:t xml:space="preserve">Judge-only s.d. per rating</w:t>
            </w:r>
          </w:p>
        </w:tc>
        <w:tc>
          <w:tcPr>
            <w:tcW w:type="dxa" w:w="6400"/>
          </w:tcPr>
          <w:p>
            <w:pPr>
              <w:spacing w:after="0"/>
            </w:pPr>
            <w:r>
              <w:rPr>
                <w:b w:val="false"/>
                <w:bCs w:val="false"/>
                <w:sz w:val="18"/>
                <w:szCs w:val="18"/>
              </w:rPr>
              <w:t xml:space="preserve">0.26 (variance 0.068)</w:t>
            </w:r>
          </w:p>
        </w:tc>
      </w:tr>
      <w:tr>
        <w:tc>
          <w:tcPr>
            <w:tcW w:type="dxa" w:w="3200"/>
          </w:tcPr>
          <w:p>
            <w:pPr>
              <w:spacing w:after="0"/>
            </w:pPr>
            <w:r>
              <w:rPr>
                <w:b w:val="false"/>
                <w:bCs w:val="false"/>
                <w:sz w:val="18"/>
                <w:szCs w:val="18"/>
              </w:rPr>
              <w:t xml:space="preserve">Residual variance per paired delta</w:t>
            </w:r>
          </w:p>
        </w:tc>
        <w:tc>
          <w:tcPr>
            <w:tcW w:type="dxa" w:w="6400"/>
          </w:tcPr>
          <w:p>
            <w:pPr>
              <w:spacing w:after="0"/>
            </w:pPr>
            <w:r>
              <w:rPr>
                <w:b w:val="false"/>
                <w:bCs w:val="false"/>
                <w:sz w:val="18"/>
                <w:szCs w:val="18"/>
              </w:rPr>
              <w:t xml:space="preserve">1.66; judge share ≈ 8%</w:t>
            </w:r>
          </w:p>
        </w:tc>
      </w:tr>
      <w:tr>
        <w:tc>
          <w:tcPr>
            <w:tcW w:type="dxa" w:w="3200"/>
          </w:tcPr>
          <w:p>
            <w:pPr>
              <w:spacing w:after="0"/>
            </w:pPr>
            <w:r>
              <w:rPr>
                <w:b w:val="false"/>
                <w:bCs w:val="false"/>
                <w:sz w:val="18"/>
                <w:szCs w:val="18"/>
              </w:rPr>
              <w:t xml:space="preserve">Prompt-effect ICC of deltas across arms</w:t>
            </w:r>
          </w:p>
        </w:tc>
        <w:tc>
          <w:tcPr>
            <w:tcW w:type="dxa" w:w="6400"/>
          </w:tcPr>
          <w:p>
            <w:pPr>
              <w:spacing w:after="0"/>
            </w:pPr>
            <w:r>
              <w:rPr>
                <w:b w:val="false"/>
                <w:bCs w:val="false"/>
                <w:sz w:val="18"/>
                <w:szCs w:val="18"/>
              </w:rPr>
              <w:t xml:space="preserve">0.12 (dual-reference baseline; 0.49 with a single reference in the August ladder)</w:t>
            </w:r>
          </w:p>
        </w:tc>
      </w:tr>
      <w:tr>
        <w:tc>
          <w:tcPr>
            <w:tcW w:type="dxa" w:w="3200"/>
          </w:tcPr>
          <w:p>
            <w:pPr>
              <w:spacing w:after="0"/>
            </w:pPr>
            <w:r>
              <w:rPr>
                <w:b w:val="false"/>
                <w:bCs w:val="false"/>
                <w:sz w:val="18"/>
                <w:szCs w:val="18"/>
              </w:rPr>
              <w:t xml:space="preserve">Reference at ceiling (rated 7)</w:t>
            </w:r>
          </w:p>
        </w:tc>
        <w:tc>
          <w:tcPr>
            <w:tcW w:type="dxa" w:w="6400"/>
          </w:tcPr>
          <w:p>
            <w:pPr>
              <w:spacing w:after="0"/>
            </w:pPr>
            <w:r>
              <w:rPr>
                <w:b w:val="false"/>
                <w:bCs w:val="false"/>
                <w:sz w:val="18"/>
                <w:szCs w:val="18"/>
              </w:rPr>
              <w:t xml:space="preserve">68% pooled; prose 65%, code 78%, arith 100%, zh 50%, hard 40%</w:t>
            </w:r>
          </w:p>
        </w:tc>
      </w:tr>
      <w:tr>
        <w:tc>
          <w:tcPr>
            <w:tcW w:type="dxa" w:w="3200"/>
          </w:tcPr>
          <w:p>
            <w:pPr>
              <w:spacing w:after="0"/>
            </w:pPr>
            <w:r>
              <w:rPr>
                <w:b w:val="false"/>
                <w:bCs w:val="false"/>
                <w:sz w:val="18"/>
                <w:szCs w:val="18"/>
              </w:rPr>
              <w:t xml:space="preserve">Paired-delta s.d. by domain</w:t>
            </w:r>
          </w:p>
        </w:tc>
        <w:tc>
          <w:tcPr>
            <w:tcW w:type="dxa" w:w="6400"/>
          </w:tcPr>
          <w:p>
            <w:pPr>
              <w:spacing w:after="0"/>
            </w:pPr>
            <w:r>
              <w:rPr>
                <w:b w:val="false"/>
                <w:bCs w:val="false"/>
                <w:sz w:val="18"/>
                <w:szCs w:val="18"/>
              </w:rPr>
              <w:t xml:space="preserve">prose 0.95, code 1.41, arith 1.07, zh 0.96, hard 2.03</w:t>
            </w:r>
          </w:p>
        </w:tc>
      </w:tr>
      <w:tr>
        <w:tc>
          <w:tcPr>
            <w:tcW w:type="dxa" w:w="3200"/>
          </w:tcPr>
          <w:p>
            <w:pPr>
              <w:spacing w:after="0"/>
            </w:pPr>
            <w:r>
              <w:rPr>
                <w:b w:val="false"/>
                <w:bCs w:val="false"/>
                <w:sz w:val="18"/>
                <w:szCs w:val="18"/>
              </w:rPr>
              <w:t xml:space="preserve">Second judge family (claude-opus-5, n=176)</w:t>
            </w:r>
          </w:p>
        </w:tc>
        <w:tc>
          <w:tcPr>
            <w:tcW w:type="dxa" w:w="6400"/>
          </w:tcPr>
          <w:p>
            <w:pPr>
              <w:spacing w:after="0"/>
            </w:pPr>
            <w:r>
              <w:rPr>
                <w:b w:val="false"/>
                <w:bCs w:val="false"/>
                <w:sz w:val="18"/>
                <w:szCs w:val="18"/>
              </w:rPr>
              <w:t xml:space="preserve">mean |diff| 0.45; means 5.73 vs 5.37 (offset −0.36); Spearman ρ = 0.88</w:t>
            </w:r>
          </w:p>
        </w:tc>
      </w:tr>
      <w:tr>
        <w:tc>
          <w:tcPr>
            <w:tcW w:type="dxa" w:w="3200"/>
          </w:tcPr>
          <w:p>
            <w:pPr>
              <w:spacing w:after="0"/>
            </w:pPr>
            <w:r>
              <w:rPr>
                <w:b w:val="false"/>
                <w:bCs w:val="false"/>
                <w:sz w:val="18"/>
                <w:szCs w:val="18"/>
              </w:rPr>
              <w:t xml:space="preserve">Judge rating vs execution check (hard, n=320)</w:t>
            </w:r>
          </w:p>
        </w:tc>
        <w:tc>
          <w:tcPr>
            <w:tcW w:type="dxa" w:w="6400"/>
          </w:tcPr>
          <w:p>
            <w:pPr>
              <w:spacing w:after="0"/>
            </w:pPr>
            <w:r>
              <w:rPr>
                <w:b w:val="false"/>
                <w:bCs w:val="false"/>
                <w:sz w:val="18"/>
                <w:szCs w:val="18"/>
              </w:rPr>
              <w:t xml:space="preserve">6.07 when correct (n=150), 2.45 when wrong (n=170); items wrong by checker yet rated ≥ 6: 0</w:t>
            </w:r>
          </w:p>
        </w:tc>
      </w:tr>
      <w:tr>
        <w:tc>
          <w:tcPr>
            <w:tcW w:type="dxa" w:w="3200"/>
          </w:tcPr>
          <w:p>
            <w:pPr>
              <w:spacing w:after="0"/>
            </w:pPr>
            <w:r>
              <w:rPr>
                <w:b w:val="false"/>
                <w:bCs w:val="false"/>
                <w:sz w:val="18"/>
                <w:szCs w:val="18"/>
              </w:rPr>
              <w:t xml:space="preserve">Judge rating vs arithmetic outcome (n=320)</w:t>
            </w:r>
          </w:p>
        </w:tc>
        <w:tc>
          <w:tcPr>
            <w:tcW w:type="dxa" w:w="6400"/>
          </w:tcPr>
          <w:p>
            <w:pPr>
              <w:spacing w:after="0"/>
            </w:pPr>
            <w:r>
              <w:rPr>
                <w:b w:val="false"/>
                <w:bCs w:val="false"/>
                <w:sz w:val="18"/>
                <w:szCs w:val="18"/>
              </w:rPr>
              <w:t xml:space="preserve">6.89 when agreeing with reference (n=311), 2.33 on the 9 real errors</w:t>
            </w:r>
          </w:p>
        </w:tc>
      </w:tr>
    </w:tbl>
    <w:p>
      <w:pPr>
        <w:spacing w:after="240"/>
      </w:pPr>
      <w:r>
        <w:rPr>
          <w:b w:val="false"/>
          <w:bCs w:val="false"/>
          <w:i w:val="false"/>
          <w:iCs w:val="false"/>
          <w:sz w:val="22"/>
          <w:szCs w:val="22"/>
        </w:rPr>
        <w:t xml:space="preserve"/>
      </w:r>
    </w:p>
    <w:p>
      <w:pPr>
        <w:pStyle w:val="Heading2"/>
      </w:pPr>
      <w:r>
        <w:t xml:space="preserve">Table 5. Registered predictions and outcomes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2400"/>
        <w:gridCol w:w="1200"/>
      </w:tblGrid>
      <w:tr>
        <w:trPr>
          <w:tblHeader/>
        </w:trPr>
        <w:tc>
          <w:tcPr>
            <w:tcW w:type="dxa" w:w="2600"/>
            <w:shd w:fill="E7E6E6" w:val="clear"/>
          </w:tcPr>
          <w:p>
            <w:pPr>
              <w:spacing w:after="0"/>
            </w:pPr>
            <w:r>
              <w:rPr>
                <w:b/>
                <w:bCs/>
                <w:sz w:val="18"/>
                <w:szCs w:val="18"/>
              </w:rPr>
              <w:t xml:space="preserve">Arm / claim</w:t>
            </w:r>
          </w:p>
        </w:tc>
        <w:tc>
          <w:tcPr>
            <w:tcW w:type="dxa" w:w="1700"/>
            <w:shd w:fill="E7E6E6" w:val="clear"/>
          </w:tcPr>
          <w:p>
            <w:pPr>
              <w:spacing w:after="0"/>
            </w:pPr>
            <w:r>
              <w:rPr>
                <w:b/>
                <w:bCs/>
                <w:sz w:val="18"/>
                <w:szCs w:val="18"/>
              </w:rPr>
              <w:t xml:space="preserve">Registered</w:t>
            </w:r>
          </w:p>
        </w:tc>
        <w:tc>
          <w:tcPr>
            <w:tcW w:type="dxa" w:w="1700"/>
            <w:shd w:fill="E7E6E6" w:val="clear"/>
          </w:tcPr>
          <w:p>
            <w:pPr>
              <w:spacing w:after="0"/>
            </w:pPr>
            <w:r>
              <w:rPr>
                <w:b/>
                <w:bCs/>
                <w:sz w:val="18"/>
                <w:szCs w:val="18"/>
              </w:rPr>
              <w:t xml:space="preserve">Basis</w:t>
            </w:r>
          </w:p>
        </w:tc>
        <w:tc>
          <w:tcPr>
            <w:tcW w:type="dxa" w:w="2400"/>
            <w:shd w:fill="E7E6E6" w:val="clear"/>
          </w:tcPr>
          <w:p>
            <w:pPr>
              <w:spacing w:after="0"/>
            </w:pPr>
            <w:r>
              <w:rPr>
                <w:b/>
                <w:bCs/>
                <w:sz w:val="18"/>
                <w:szCs w:val="18"/>
              </w:rPr>
              <w:t xml:space="preserve">Measured</w:t>
            </w:r>
          </w:p>
        </w:tc>
        <w:tc>
          <w:tcPr>
            <w:tcW w:type="dxa" w:w="1200"/>
            <w:shd w:fill="E7E6E6" w:val="clear"/>
          </w:tcPr>
          <w:p>
            <w:pPr>
              <w:spacing w:after="0"/>
            </w:pPr>
            <w:r>
              <w:rPr>
                <w:b/>
                <w:bCs/>
                <w:sz w:val="18"/>
                <w:szCs w:val="18"/>
              </w:rPr>
              <w:t xml:space="preserve">Verdict</w:t>
            </w:r>
          </w:p>
        </w:tc>
      </w:tr>
      <w:tr>
        <w:tc>
          <w:tcPr>
            <w:tcW w:type="dxa" w:w="2600"/>
          </w:tcPr>
          <w:p>
            <w:pPr>
              <w:spacing w:after="0"/>
            </w:pPr>
            <w:r>
              <w:rPr>
                <w:b w:val="false"/>
                <w:bCs w:val="false"/>
                <w:sz w:val="18"/>
                <w:szCs w:val="18"/>
              </w:rPr>
              <w:t xml:space="preserve">resample (bf16, null)</w:t>
            </w:r>
          </w:p>
        </w:tc>
        <w:tc>
          <w:tcPr>
            <w:tcW w:type="dxa" w:w="1700"/>
          </w:tcPr>
          <w:p>
            <w:pPr>
              <w:spacing w:after="0"/>
            </w:pPr>
            <w:r>
              <w:rPr>
                <w:b w:val="false"/>
                <w:bCs w:val="false"/>
                <w:sz w:val="18"/>
                <w:szCs w:val="18"/>
              </w:rPr>
              <w:t xml:space="preserve">0.00</w:t>
            </w:r>
          </w:p>
        </w:tc>
        <w:tc>
          <w:tcPr>
            <w:tcW w:type="dxa" w:w="1700"/>
          </w:tcPr>
          <w:p>
            <w:pPr>
              <w:spacing w:after="0"/>
            </w:pPr>
            <w:r>
              <w:rPr>
                <w:b w:val="false"/>
                <w:bCs w:val="false"/>
                <w:sz w:val="18"/>
                <w:szCs w:val="18"/>
              </w:rPr>
              <w:t xml:space="preserve">exchangeability</w:t>
            </w:r>
          </w:p>
        </w:tc>
        <w:tc>
          <w:tcPr>
            <w:tcW w:type="dxa" w:w="2400"/>
          </w:tcPr>
          <w:p>
            <w:pPr>
              <w:spacing w:after="0"/>
            </w:pPr>
            <w:r>
              <w:rPr>
                <w:b w:val="false"/>
                <w:bCs w:val="false"/>
                <w:sz w:val="18"/>
                <w:szCs w:val="18"/>
              </w:rPr>
              <w:t xml:space="preserve">-0.05 [-0.18, +0.08]</w:t>
            </w:r>
          </w:p>
        </w:tc>
        <w:tc>
          <w:tcPr>
            <w:tcW w:type="dxa" w:w="1200"/>
          </w:tcPr>
          <w:p>
            <w:pPr>
              <w:spacing w:after="0"/>
            </w:pPr>
            <w:r>
              <w:rPr>
                <w:b w:val="false"/>
                <w:bCs w:val="false"/>
                <w:sz w:val="18"/>
                <w:szCs w:val="18"/>
              </w:rPr>
              <w:t xml:space="preserve">inside</w:t>
            </w:r>
          </w:p>
        </w:tc>
      </w:tr>
      <w:tr>
        <w:tc>
          <w:tcPr>
            <w:tcW w:type="dxa" w:w="2600"/>
          </w:tcPr>
          <w:p>
            <w:pPr>
              <w:spacing w:after="0"/>
            </w:pPr>
            <w:r>
              <w:rPr>
                <w:b w:val="false"/>
                <w:bCs w:val="false"/>
                <w:sz w:val="18"/>
                <w:szCs w:val="18"/>
              </w:rPr>
              <w:t xml:space="preserve">speculative λ=1.0 (null)</w:t>
            </w:r>
          </w:p>
        </w:tc>
        <w:tc>
          <w:tcPr>
            <w:tcW w:type="dxa" w:w="1700"/>
          </w:tcPr>
          <w:p>
            <w:pPr>
              <w:spacing w:after="0"/>
            </w:pPr>
            <w:r>
              <w:rPr>
                <w:b w:val="false"/>
                <w:bCs w:val="false"/>
                <w:sz w:val="18"/>
                <w:szCs w:val="18"/>
              </w:rPr>
              <w:t xml:space="preserve">0.00 (|δ| &lt; 0.05)</w:t>
            </w:r>
          </w:p>
        </w:tc>
        <w:tc>
          <w:tcPr>
            <w:tcW w:type="dxa" w:w="1700"/>
          </w:tcPr>
          <w:p>
            <w:pPr>
              <w:spacing w:after="0"/>
            </w:pPr>
            <w:r>
              <w:rPr>
                <w:b w:val="false"/>
                <w:bCs w:val="false"/>
                <w:sz w:val="18"/>
                <w:szCs w:val="18"/>
              </w:rPr>
              <w:t xml:space="preserve">rejection-sampling proof</w:t>
            </w:r>
          </w:p>
        </w:tc>
        <w:tc>
          <w:tcPr>
            <w:tcW w:type="dxa" w:w="2400"/>
          </w:tcPr>
          <w:p>
            <w:pPr>
              <w:spacing w:after="0"/>
            </w:pPr>
            <w:r>
              <w:rPr>
                <w:b w:val="false"/>
                <w:bCs w:val="false"/>
                <w:sz w:val="18"/>
                <w:szCs w:val="18"/>
              </w:rPr>
              <w:t xml:space="preserve">+0.05 [-0.06, +0.16]</w:t>
            </w:r>
          </w:p>
        </w:tc>
        <w:tc>
          <w:tcPr>
            <w:tcW w:type="dxa" w:w="1200"/>
          </w:tcPr>
          <w:p>
            <w:pPr>
              <w:spacing w:after="0"/>
            </w:pPr>
            <w:r>
              <w:rPr>
                <w:b w:val="false"/>
                <w:bCs w:val="false"/>
                <w:sz w:val="18"/>
                <w:szCs w:val="18"/>
              </w:rPr>
              <w:t xml:space="preserve">inside</w:t>
            </w:r>
          </w:p>
        </w:tc>
      </w:tr>
      <w:tr>
        <w:tc>
          <w:tcPr>
            <w:tcW w:type="dxa" w:w="2600"/>
          </w:tcPr>
          <w:p>
            <w:pPr>
              <w:spacing w:after="0"/>
            </w:pPr>
            <w:r>
              <w:rPr>
                <w:b w:val="false"/>
                <w:bCs w:val="false"/>
                <w:sz w:val="18"/>
                <w:szCs w:val="18"/>
              </w:rPr>
              <w:t xml:space="preserve">speculative λ=0.2</w:t>
            </w:r>
          </w:p>
        </w:tc>
        <w:tc>
          <w:tcPr>
            <w:tcW w:type="dxa" w:w="1700"/>
          </w:tcPr>
          <w:p>
            <w:pPr>
              <w:spacing w:after="0"/>
            </w:pPr>
            <w:r>
              <w:rPr>
                <w:b w:val="false"/>
                <w:bCs w:val="false"/>
                <w:sz w:val="18"/>
                <w:szCs w:val="18"/>
              </w:rPr>
              <w:t xml:space="preserve">−0.05 [−0.2, +0.1]</w:t>
            </w:r>
          </w:p>
        </w:tc>
        <w:tc>
          <w:tcPr>
            <w:tcW w:type="dxa" w:w="1700"/>
          </w:tcPr>
          <w:p>
            <w:pPr>
              <w:spacing w:after="0"/>
            </w:pPr>
            <w:r>
              <w:rPr>
                <w:b w:val="false"/>
                <w:bCs w:val="false"/>
                <w:sz w:val="18"/>
                <w:szCs w:val="18"/>
              </w:rPr>
              <w:t xml:space="preserve">ladder pilot</w:t>
            </w:r>
          </w:p>
        </w:tc>
        <w:tc>
          <w:tcPr>
            <w:tcW w:type="dxa" w:w="2400"/>
          </w:tcPr>
          <w:p>
            <w:pPr>
              <w:spacing w:after="0"/>
            </w:pPr>
            <w:r>
              <w:rPr>
                <w:b w:val="false"/>
                <w:bCs w:val="false"/>
                <w:sz w:val="18"/>
                <w:szCs w:val="18"/>
              </w:rPr>
              <w:t xml:space="preserve">-0.02 [-0.14, +0.10]</w:t>
            </w:r>
          </w:p>
        </w:tc>
        <w:tc>
          <w:tcPr>
            <w:tcW w:type="dxa" w:w="1200"/>
          </w:tcPr>
          <w:p>
            <w:pPr>
              <w:spacing w:after="0"/>
            </w:pPr>
            <w:r>
              <w:rPr>
                <w:b w:val="false"/>
                <w:bCs w:val="false"/>
                <w:sz w:val="18"/>
                <w:szCs w:val="18"/>
              </w:rPr>
              <w:t xml:space="preserve">inside</w:t>
            </w:r>
          </w:p>
        </w:tc>
      </w:tr>
      <w:tr>
        <w:tc>
          <w:tcPr>
            <w:tcW w:type="dxa" w:w="2600"/>
          </w:tcPr>
          <w:p>
            <w:pPr>
              <w:spacing w:after="0"/>
            </w:pPr>
            <w:r>
              <w:rPr>
                <w:b w:val="false"/>
                <w:bCs w:val="false"/>
                <w:sz w:val="18"/>
                <w:szCs w:val="18"/>
              </w:rPr>
              <w:t xml:space="preserve">NF4 4-bit</w:t>
            </w:r>
          </w:p>
        </w:tc>
        <w:tc>
          <w:tcPr>
            <w:tcW w:type="dxa" w:w="1700"/>
          </w:tcPr>
          <w:p>
            <w:pPr>
              <w:spacing w:after="0"/>
            </w:pPr>
            <w:r>
              <w:rPr>
                <w:b w:val="false"/>
                <w:bCs w:val="false"/>
                <w:sz w:val="18"/>
                <w:szCs w:val="18"/>
              </w:rPr>
              <w:t xml:space="preserve">−0.10; zh −0.45</w:t>
            </w:r>
          </w:p>
        </w:tc>
        <w:tc>
          <w:tcPr>
            <w:tcW w:type="dxa" w:w="1700"/>
          </w:tcPr>
          <w:p>
            <w:pPr>
              <w:spacing w:after="0"/>
            </w:pPr>
            <w:r>
              <w:rPr>
                <w:b w:val="false"/>
                <w:bCs w:val="false"/>
                <w:sz w:val="18"/>
                <w:szCs w:val="18"/>
              </w:rPr>
              <w:t xml:space="preserve">noise/ladder pilots</w:t>
            </w:r>
          </w:p>
        </w:tc>
        <w:tc>
          <w:tcPr>
            <w:tcW w:type="dxa" w:w="2400"/>
          </w:tcPr>
          <w:p>
            <w:pPr>
              <w:spacing w:after="0"/>
            </w:pPr>
            <w:r>
              <w:rPr>
                <w:b w:val="false"/>
                <w:bCs w:val="false"/>
                <w:sz w:val="18"/>
                <w:szCs w:val="18"/>
              </w:rPr>
              <w:t xml:space="preserve">+0.01 [-0.10, +0.12]</w:t>
            </w:r>
          </w:p>
        </w:tc>
        <w:tc>
          <w:tcPr>
            <w:tcW w:type="dxa" w:w="1200"/>
          </w:tcPr>
          <w:p>
            <w:pPr>
              <w:spacing w:after="0"/>
            </w:pPr>
            <w:r>
              <w:rPr>
                <w:b w:val="false"/>
                <w:bCs w:val="false"/>
                <w:sz w:val="18"/>
                <w:szCs w:val="18"/>
              </w:rPr>
              <w:t xml:space="preserve">inside</w:t>
            </w:r>
          </w:p>
        </w:tc>
      </w:tr>
      <w:tr>
        <w:tc>
          <w:tcPr>
            <w:tcW w:type="dxa" w:w="2600"/>
          </w:tcPr>
          <w:p>
            <w:pPr>
              <w:spacing w:after="0"/>
            </w:pPr>
            <w:r>
              <w:rPr>
                <w:b w:val="false"/>
                <w:bCs w:val="false"/>
                <w:sz w:val="18"/>
                <w:szCs w:val="18"/>
              </w:rPr>
              <w:t xml:space="preserve">HQQ 3-bit</w:t>
            </w:r>
          </w:p>
        </w:tc>
        <w:tc>
          <w:tcPr>
            <w:tcW w:type="dxa" w:w="1700"/>
          </w:tcPr>
          <w:p>
            <w:pPr>
              <w:spacing w:after="0"/>
            </w:pPr>
            <w:r>
              <w:rPr>
                <w:b w:val="false"/>
                <w:bCs w:val="false"/>
                <w:sz w:val="18"/>
                <w:szCs w:val="18"/>
              </w:rPr>
              <w:t xml:space="preserve">−0.8 [−1.5, −0.4]</w:t>
            </w:r>
          </w:p>
        </w:tc>
        <w:tc>
          <w:tcPr>
            <w:tcW w:type="dxa" w:w="1700"/>
          </w:tcPr>
          <w:p>
            <w:pPr>
              <w:spacing w:after="0"/>
            </w:pPr>
            <w:r>
              <w:rPr>
                <w:b w:val="false"/>
                <w:bCs w:val="false"/>
                <w:sz w:val="18"/>
                <w:szCs w:val="18"/>
              </w:rPr>
              <w:t xml:space="preserve">EAR ≈ 0.80</w:t>
            </w:r>
          </w:p>
        </w:tc>
        <w:tc>
          <w:tcPr>
            <w:tcW w:type="dxa" w:w="2400"/>
          </w:tcPr>
          <w:p>
            <w:pPr>
              <w:spacing w:after="0"/>
            </w:pPr>
            <w:r>
              <w:rPr>
                <w:b w:val="false"/>
                <w:bCs w:val="false"/>
                <w:sz w:val="18"/>
                <w:szCs w:val="18"/>
              </w:rPr>
              <w:t xml:space="preserve">-0.70 [-0.85, -0.55]</w:t>
            </w:r>
          </w:p>
        </w:tc>
        <w:tc>
          <w:tcPr>
            <w:tcW w:type="dxa" w:w="1200"/>
          </w:tcPr>
          <w:p>
            <w:pPr>
              <w:spacing w:after="0"/>
            </w:pPr>
            <w:r>
              <w:rPr>
                <w:b w:val="false"/>
                <w:bCs w:val="false"/>
                <w:sz w:val="18"/>
                <w:szCs w:val="18"/>
              </w:rPr>
              <w:t xml:space="preserve">inside</w:t>
            </w:r>
          </w:p>
        </w:tc>
      </w:tr>
      <w:tr>
        <w:tc>
          <w:tcPr>
            <w:tcW w:type="dxa" w:w="2600"/>
          </w:tcPr>
          <w:p>
            <w:pPr>
              <w:spacing w:after="0"/>
            </w:pPr>
            <w:r>
              <w:rPr>
                <w:b w:val="false"/>
                <w:bCs w:val="false"/>
                <w:sz w:val="18"/>
                <w:szCs w:val="18"/>
              </w:rPr>
              <w:t xml:space="preserve">exit d15, refill 16</w:t>
            </w:r>
          </w:p>
        </w:tc>
        <w:tc>
          <w:tcPr>
            <w:tcW w:type="dxa" w:w="1700"/>
          </w:tcPr>
          <w:p>
            <w:pPr>
              <w:spacing w:after="0"/>
            </w:pPr>
            <w:r>
              <w:rPr>
                <w:b w:val="false"/>
                <w:bCs w:val="false"/>
                <w:sz w:val="18"/>
                <w:szCs w:val="18"/>
              </w:rPr>
              <w:t xml:space="preserve">−0.55</w:t>
            </w:r>
          </w:p>
        </w:tc>
        <w:tc>
          <w:tcPr>
            <w:tcW w:type="dxa" w:w="1700"/>
          </w:tcPr>
          <w:p>
            <w:pPr>
              <w:spacing w:after="0"/>
            </w:pPr>
            <w:r>
              <w:rPr>
                <w:b w:val="false"/>
                <w:bCs w:val="false"/>
                <w:sz w:val="18"/>
                <w:szCs w:val="18"/>
              </w:rPr>
              <w:t xml:space="preserve">greedy anchor −0.59</w:t>
            </w:r>
          </w:p>
        </w:tc>
        <w:tc>
          <w:tcPr>
            <w:tcW w:type="dxa" w:w="2400"/>
          </w:tcPr>
          <w:p>
            <w:pPr>
              <w:spacing w:after="0"/>
            </w:pPr>
            <w:r>
              <w:rPr>
                <w:b w:val="false"/>
                <w:bCs w:val="false"/>
                <w:sz w:val="18"/>
                <w:szCs w:val="18"/>
              </w:rPr>
              <w:t xml:space="preserve">-1.07 [-1.26, -0.87]</w:t>
            </w:r>
          </w:p>
        </w:tc>
        <w:tc>
          <w:tcPr>
            <w:tcW w:type="dxa" w:w="1200"/>
          </w:tcPr>
          <w:p>
            <w:pPr>
              <w:spacing w:after="0"/>
            </w:pPr>
            <w:r>
              <w:rPr>
                <w:b w:val="false"/>
                <w:bCs w:val="false"/>
                <w:sz w:val="18"/>
                <w:szCs w:val="18"/>
              </w:rPr>
              <w:t xml:space="preserve">OUTSIDE</w:t>
            </w:r>
          </w:p>
        </w:tc>
      </w:tr>
      <w:tr>
        <w:tc>
          <w:tcPr>
            <w:tcW w:type="dxa" w:w="2600"/>
          </w:tcPr>
          <w:p>
            <w:pPr>
              <w:spacing w:after="0"/>
            </w:pPr>
            <w:r>
              <w:rPr>
                <w:b w:val="false"/>
                <w:bCs w:val="false"/>
                <w:sz w:val="18"/>
                <w:szCs w:val="18"/>
              </w:rPr>
              <w:t xml:space="preserve">exit d15, no refill</w:t>
            </w:r>
          </w:p>
        </w:tc>
        <w:tc>
          <w:tcPr>
            <w:tcW w:type="dxa" w:w="1700"/>
          </w:tcPr>
          <w:p>
            <w:pPr>
              <w:spacing w:after="0"/>
            </w:pPr>
            <w:r>
              <w:rPr>
                <w:b w:val="false"/>
                <w:bCs w:val="false"/>
                <w:sz w:val="18"/>
                <w:szCs w:val="18"/>
              </w:rPr>
              <w:t xml:space="preserve">−1.00</w:t>
            </w:r>
          </w:p>
        </w:tc>
        <w:tc>
          <w:tcPr>
            <w:tcW w:type="dxa" w:w="1700"/>
          </w:tcPr>
          <w:p>
            <w:pPr>
              <w:spacing w:after="0"/>
            </w:pPr>
            <w:r>
              <w:rPr>
                <w:b w:val="false"/>
                <w:bCs w:val="false"/>
                <w:sz w:val="18"/>
                <w:szCs w:val="18"/>
              </w:rPr>
              <w:t xml:space="preserve">greedy anchor −1.05</w:t>
            </w:r>
          </w:p>
        </w:tc>
        <w:tc>
          <w:tcPr>
            <w:tcW w:type="dxa" w:w="2400"/>
          </w:tcPr>
          <w:p>
            <w:pPr>
              <w:spacing w:after="0"/>
            </w:pPr>
            <w:r>
              <w:rPr>
                <w:b w:val="false"/>
                <w:bCs w:val="false"/>
                <w:sz w:val="18"/>
                <w:szCs w:val="18"/>
              </w:rPr>
              <w:t xml:space="preserve">-1.67 [-1.90, -1.43]</w:t>
            </w:r>
          </w:p>
        </w:tc>
        <w:tc>
          <w:tcPr>
            <w:tcW w:type="dxa" w:w="1200"/>
          </w:tcPr>
          <w:p>
            <w:pPr>
              <w:spacing w:after="0"/>
            </w:pPr>
            <w:r>
              <w:rPr>
                <w:b w:val="false"/>
                <w:bCs w:val="false"/>
                <w:sz w:val="18"/>
                <w:szCs w:val="18"/>
              </w:rPr>
              <w:t xml:space="preserve">OUTSIDE</w:t>
            </w:r>
          </w:p>
        </w:tc>
      </w:tr>
      <w:tr>
        <w:tc>
          <w:tcPr>
            <w:tcW w:type="dxa" w:w="2600"/>
          </w:tcPr>
          <w:p>
            <w:pPr>
              <w:spacing w:after="0"/>
            </w:pPr>
            <w:r>
              <w:rPr>
                <w:b w:val="false"/>
                <w:bCs w:val="false"/>
                <w:sz w:val="18"/>
                <w:szCs w:val="18"/>
              </w:rPr>
              <w:t xml:space="preserve">Reference correctness, hard math</w:t>
            </w:r>
          </w:p>
        </w:tc>
        <w:tc>
          <w:tcPr>
            <w:tcW w:type="dxa" w:w="1700"/>
          </w:tcPr>
          <w:p>
            <w:pPr>
              <w:spacing w:after="0"/>
            </w:pPr>
            <w:r>
              <w:rPr>
                <w:b w:val="false"/>
                <w:bCs w:val="false"/>
                <w:sz w:val="18"/>
                <w:szCs w:val="18"/>
              </w:rPr>
              <w:t xml:space="preserve">20–23 / 27</w:t>
            </w:r>
          </w:p>
        </w:tc>
        <w:tc>
          <w:tcPr>
            <w:tcW w:type="dxa" w:w="1700"/>
          </w:tcPr>
          <w:p>
            <w:pPr>
              <w:spacing w:after="0"/>
            </w:pPr>
            <w:r>
              <w:rPr>
                <w:b w:val="false"/>
                <w:bCs w:val="false"/>
                <w:sz w:val="18"/>
                <w:szCs w:val="18"/>
              </w:rPr>
              <w:t xml:space="preserve">known bf16 errors</w:t>
            </w:r>
          </w:p>
        </w:tc>
        <w:tc>
          <w:tcPr>
            <w:tcW w:type="dxa" w:w="2400"/>
          </w:tcPr>
          <w:p>
            <w:pPr>
              <w:spacing w:after="0"/>
            </w:pPr>
            <w:r>
              <w:rPr>
                <w:b w:val="false"/>
                <w:bCs w:val="false"/>
                <w:sz w:val="18"/>
                <w:szCs w:val="18"/>
              </w:rPr>
              <w:t xml:space="preserve">19/27</w:t>
            </w:r>
          </w:p>
        </w:tc>
        <w:tc>
          <w:tcPr>
            <w:tcW w:type="dxa" w:w="1200"/>
          </w:tcPr>
          <w:p>
            <w:pPr>
              <w:spacing w:after="0"/>
            </w:pPr>
            <w:r>
              <w:rPr>
                <w:b w:val="false"/>
                <w:bCs w:val="false"/>
                <w:sz w:val="18"/>
                <w:szCs w:val="18"/>
              </w:rPr>
              <w:t xml:space="preserve">OUTSIDE</w:t>
            </w:r>
          </w:p>
        </w:tc>
      </w:tr>
      <w:tr>
        <w:tc>
          <w:tcPr>
            <w:tcW w:type="dxa" w:w="2600"/>
          </w:tcPr>
          <w:p>
            <w:pPr>
              <w:spacing w:after="0"/>
            </w:pPr>
            <w:r>
              <w:rPr>
                <w:b w:val="false"/>
                <w:bCs w:val="false"/>
                <w:sz w:val="18"/>
                <w:szCs w:val="18"/>
              </w:rPr>
              <w:t xml:space="preserve">Reference correctness, hard code</w:t>
            </w:r>
          </w:p>
        </w:tc>
        <w:tc>
          <w:tcPr>
            <w:tcW w:type="dxa" w:w="1700"/>
          </w:tcPr>
          <w:p>
            <w:pPr>
              <w:spacing w:after="0"/>
            </w:pPr>
            <w:r>
              <w:rPr>
                <w:b w:val="false"/>
                <w:bCs w:val="false"/>
                <w:sz w:val="18"/>
                <w:szCs w:val="18"/>
              </w:rPr>
              <w:t xml:space="preserve">8–10 / 13</w:t>
            </w:r>
          </w:p>
        </w:tc>
        <w:tc>
          <w:tcPr>
            <w:tcW w:type="dxa" w:w="1700"/>
          </w:tcPr>
          <w:p>
            <w:pPr>
              <w:spacing w:after="0"/>
            </w:pPr>
            <w:r>
              <w:rPr>
                <w:b w:val="false"/>
                <w:bCs w:val="false"/>
                <w:sz w:val="18"/>
                <w:szCs w:val="18"/>
              </w:rPr>
              <w:t xml:space="preserve">—</w:t>
            </w:r>
          </w:p>
        </w:tc>
        <w:tc>
          <w:tcPr>
            <w:tcW w:type="dxa" w:w="2400"/>
          </w:tcPr>
          <w:p>
            <w:pPr>
              <w:spacing w:after="0"/>
            </w:pPr>
            <w:r>
              <w:rPr>
                <w:b w:val="false"/>
                <w:bCs w:val="false"/>
                <w:sz w:val="18"/>
                <w:szCs w:val="18"/>
              </w:rPr>
              <w:t xml:space="preserve">8/13</w:t>
            </w:r>
          </w:p>
        </w:tc>
        <w:tc>
          <w:tcPr>
            <w:tcW w:type="dxa" w:w="1200"/>
          </w:tcPr>
          <w:p>
            <w:pPr>
              <w:spacing w:after="0"/>
            </w:pPr>
            <w:r>
              <w:rPr>
                <w:b w:val="false"/>
                <w:bCs w:val="false"/>
                <w:sz w:val="18"/>
                <w:szCs w:val="18"/>
              </w:rPr>
              <w:t xml:space="preserve">inside</w:t>
            </w:r>
          </w:p>
        </w:tc>
      </w:tr>
      <w:tr>
        <w:tc>
          <w:tcPr>
            <w:tcW w:type="dxa" w:w="2600"/>
          </w:tcPr>
          <w:p>
            <w:pPr>
              <w:spacing w:after="0"/>
            </w:pPr>
            <w:r>
              <w:rPr>
                <w:b w:val="false"/>
                <w:bCs w:val="false"/>
                <w:sz w:val="18"/>
                <w:szCs w:val="18"/>
              </w:rPr>
              <w:t xml:space="preserve">Quant./spec. arms within ±3 items of reference</w:t>
            </w:r>
          </w:p>
        </w:tc>
        <w:tc>
          <w:tcPr>
            <w:tcW w:type="dxa" w:w="1700"/>
          </w:tcPr>
          <w:p>
            <w:pPr>
              <w:spacing w:after="0"/>
            </w:pPr>
            <w:r>
              <w:rPr>
                <w:b w:val="false"/>
                <w:bCs w:val="false"/>
                <w:sz w:val="18"/>
                <w:szCs w:val="18"/>
              </w:rPr>
              <w:t xml:space="preserve">yes</w:t>
            </w:r>
          </w:p>
        </w:tc>
        <w:tc>
          <w:tcPr>
            <w:tcW w:type="dxa" w:w="1700"/>
          </w:tcPr>
          <w:p>
            <w:pPr>
              <w:spacing w:after="0"/>
            </w:pPr>
            <w:r>
              <w:rPr>
                <w:b w:val="false"/>
                <w:bCs w:val="false"/>
                <w:sz w:val="18"/>
                <w:szCs w:val="18"/>
              </w:rPr>
              <w:t xml:space="preserve">—</w:t>
            </w:r>
          </w:p>
        </w:tc>
        <w:tc>
          <w:tcPr>
            <w:tcW w:type="dxa" w:w="2400"/>
          </w:tcPr>
          <w:p>
            <w:pPr>
              <w:spacing w:after="0"/>
            </w:pPr>
            <w:r>
              <w:rPr>
                <w:b w:val="false"/>
                <w:bCs w:val="false"/>
                <w:sz w:val="18"/>
                <w:szCs w:val="18"/>
              </w:rPr>
              <w:t xml:space="preserve">NF4 18/6, λ=1.0 18/8, λ=0.2 18/9 (math/code)</w:t>
            </w:r>
          </w:p>
        </w:tc>
        <w:tc>
          <w:tcPr>
            <w:tcW w:type="dxa" w:w="1200"/>
          </w:tcPr>
          <w:p>
            <w:pPr>
              <w:spacing w:after="0"/>
            </w:pPr>
            <w:r>
              <w:rPr>
                <w:b w:val="false"/>
                <w:bCs w:val="false"/>
                <w:sz w:val="18"/>
                <w:szCs w:val="18"/>
              </w:rPr>
              <w:t xml:space="preserve">inside</w:t>
            </w:r>
          </w:p>
        </w:tc>
      </w:tr>
      <w:tr>
        <w:tc>
          <w:tcPr>
            <w:tcW w:type="dxa" w:w="2600"/>
          </w:tcPr>
          <w:p>
            <w:pPr>
              <w:spacing w:after="0"/>
            </w:pPr>
            <w:r>
              <w:rPr>
                <w:b w:val="false"/>
                <w:bCs w:val="false"/>
                <w:sz w:val="18"/>
                <w:szCs w:val="18"/>
              </w:rPr>
              <w:t xml:space="preserve">Depth arms &lt; 10/27 math, &lt; 4/13 code</w:t>
            </w:r>
          </w:p>
        </w:tc>
        <w:tc>
          <w:tcPr>
            <w:tcW w:type="dxa" w:w="1700"/>
          </w:tcPr>
          <w:p>
            <w:pPr>
              <w:spacing w:after="0"/>
            </w:pPr>
            <w:r>
              <w:rPr>
                <w:b w:val="false"/>
                <w:bCs w:val="false"/>
                <w:sz w:val="18"/>
                <w:szCs w:val="18"/>
              </w:rPr>
              <w:t xml:space="preserve">yes</w:t>
            </w:r>
          </w:p>
        </w:tc>
        <w:tc>
          <w:tcPr>
            <w:tcW w:type="dxa" w:w="1700"/>
          </w:tcPr>
          <w:p>
            <w:pPr>
              <w:spacing w:after="0"/>
            </w:pPr>
            <w:r>
              <w:rPr>
                <w:b w:val="false"/>
                <w:bCs w:val="false"/>
                <w:sz w:val="18"/>
                <w:szCs w:val="18"/>
              </w:rPr>
              <w:t xml:space="preserve">—</w:t>
            </w:r>
          </w:p>
        </w:tc>
        <w:tc>
          <w:tcPr>
            <w:tcW w:type="dxa" w:w="2400"/>
          </w:tcPr>
          <w:p>
            <w:pPr>
              <w:spacing w:after="0"/>
            </w:pPr>
            <w:r>
              <w:rPr>
                <w:b w:val="false"/>
                <w:bCs w:val="false"/>
                <w:sz w:val="18"/>
                <w:szCs w:val="18"/>
              </w:rPr>
              <w:t xml:space="preserve">6/0 and 4/0</w:t>
            </w:r>
          </w:p>
        </w:tc>
        <w:tc>
          <w:tcPr>
            <w:tcW w:type="dxa" w:w="1200"/>
          </w:tcPr>
          <w:p>
            <w:pPr>
              <w:spacing w:after="0"/>
            </w:pPr>
            <w:r>
              <w:rPr>
                <w:b w:val="false"/>
                <w:bCs w:val="false"/>
                <w:sz w:val="18"/>
                <w:szCs w:val="18"/>
              </w:rPr>
              <w:t xml:space="preserve">inside</w:t>
            </w:r>
          </w:p>
        </w:tc>
      </w:tr>
      <w:tr>
        <w:tc>
          <w:tcPr>
            <w:tcW w:type="dxa" w:w="2600"/>
          </w:tcPr>
          <w:p>
            <w:pPr>
              <w:spacing w:after="0"/>
            </w:pPr>
            <w:r>
              <w:rPr>
                <w:b w:val="false"/>
                <w:bCs w:val="false"/>
                <w:sz w:val="18"/>
                <w:szCs w:val="18"/>
              </w:rPr>
              <w:t xml:space="preserve">Judge under-reads depth-arm collapse on hard</w:t>
            </w:r>
          </w:p>
        </w:tc>
        <w:tc>
          <w:tcPr>
            <w:tcW w:type="dxa" w:w="1700"/>
          </w:tcPr>
          <w:p>
            <w:pPr>
              <w:spacing w:after="0"/>
            </w:pPr>
            <w:r>
              <w:rPr>
                <w:b w:val="false"/>
                <w:bCs w:val="false"/>
                <w:sz w:val="18"/>
                <w:szCs w:val="18"/>
              </w:rPr>
              <w:t xml:space="preserve">−0.8 to −1.5</w:t>
            </w:r>
          </w:p>
        </w:tc>
        <w:tc>
          <w:tcPr>
            <w:tcW w:type="dxa" w:w="1700"/>
          </w:tcPr>
          <w:p>
            <w:pPr>
              <w:spacing w:after="0"/>
            </w:pPr>
            <w:r>
              <w:rPr>
                <w:b w:val="false"/>
                <w:bCs w:val="false"/>
                <w:sz w:val="18"/>
                <w:szCs w:val="18"/>
              </w:rPr>
              <w:t xml:space="preserve">proxy-failure hypothesis</w:t>
            </w:r>
          </w:p>
        </w:tc>
        <w:tc>
          <w:tcPr>
            <w:tcW w:type="dxa" w:w="2400"/>
          </w:tcPr>
          <w:p>
            <w:pPr>
              <w:spacing w:after="0"/>
            </w:pPr>
            <w:r>
              <w:rPr>
                <w:b w:val="false"/>
                <w:bCs w:val="false"/>
                <w:sz w:val="18"/>
                <w:szCs w:val="18"/>
              </w:rPr>
              <w:t xml:space="preserve">−2.54 and −3.29</w:t>
            </w:r>
          </w:p>
        </w:tc>
        <w:tc>
          <w:tcPr>
            <w:tcW w:type="dxa" w:w="1200"/>
          </w:tcPr>
          <w:p>
            <w:pPr>
              <w:spacing w:after="0"/>
            </w:pPr>
            <w:r>
              <w:rPr>
                <w:b w:val="false"/>
                <w:bCs w:val="false"/>
                <w:sz w:val="18"/>
                <w:szCs w:val="18"/>
              </w:rPr>
              <w:t xml:space="preserve">OUTSIDE</w:t>
            </w:r>
          </w:p>
        </w:tc>
      </w:tr>
    </w:tbl>
    <w:p>
      <w:pPr>
        <w:spacing w:after="120"/>
      </w:pPr>
      <w:r>
        <w:rPr>
          <w:b w:val="false"/>
          <w:bCs w:val="false"/>
          <w:i/>
          <w:iCs/>
          <w:sz w:val="18"/>
          <w:szCs w:val="18"/>
        </w:rPr>
        <w:t xml:space="preserve">Predictions were recorded in the analysis script before the run, with the anchors from the August pilots. The two early-exit misses share a cause: the pilots used greedy decoding and no verifiable domain; under sampling with the hard domain included the damage is roughly twice the anchor. The judge-under-reads miss is the informative one: the rating judge fully registered the correctness collapse, so the proxy-failure argument in the paper rests on the automatic measures, not on the judge.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a44f4fc6da2b08ffc200ce087dd741089651c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2026-09-06T18:07:06.005Z</dcterms:created>
  <dcterms:modified xsi:type="dcterms:W3CDTF">2026-09-06T18:07:06.014Z</dcterms:modified>
</cp:coreProperties>
</file>

<file path=docProps/custom.xml><?xml version="1.0" encoding="utf-8"?>
<Properties xmlns="http://schemas.openxmlformats.org/officeDocument/2006/custom-properties" xmlns:vt="http://schemas.openxmlformats.org/officeDocument/2006/docPropsVTypes"/>
</file>