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sz w:val="32"/>
        </w:rPr>
        <w:t>PA1 Work Division</w:t>
      </w:r>
    </w:p>
    <w:p>
      <w:pPr>
        <w:spacing w:after="240"/>
        <w:jc w:val="center"/>
      </w:pPr>
      <w:r>
        <w:rPr>
          <w:rFonts w:ascii="Calibri" w:hAnsi="Calibri"/>
          <w:sz w:val="24"/>
        </w:rPr>
        <w:t>ProductResearch Work Division for FIFA.com and Chess.com</w:t>
      </w:r>
    </w:p>
    <w:p>
      <w:pPr>
        <w:pStyle w:val="Heading1"/>
      </w:pPr>
      <w:r>
        <w:t>1. Project objective</w:t>
      </w:r>
    </w:p>
    <w:p>
      <w:pPr/>
      <w:r>
        <w:t>The group will complete only the ProductResearch part of PA1 by researching FIFA.com and Chess.com from HCI and UX perspectives. The work includes product overview, target users, personas, use cases, screenshot evidence, HCI findings, benefits, drawbacks, source citation, cross-product comparison, and final QA for GroupID-PA1-ProductResearch.pdf.</w:t>
      </w:r>
    </w:p>
    <w:p>
      <w:pPr>
        <w:pStyle w:val="Heading1"/>
      </w:pPr>
      <w:r>
        <w:t>2. Team members</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600"/>
        <w:gridCol w:w="1900"/>
        <w:gridCol w:w="1200"/>
        <w:gridCol w:w="3000"/>
        <w:gridCol w:w="2660"/>
      </w:tblGrid>
      <w:tr>
        <w:tc>
          <w:tcPr>
            <w:tcW w:type="dxa" w:w="600"/>
            <w:shd w:fill="F2F4F7"/>
            <w:tcMar>
              <w:top w:w="80" w:type="dxa"/>
              <w:start w:w="120" w:type="dxa"/>
              <w:bottom w:w="80" w:type="dxa"/>
              <w:end w:w="120" w:type="dxa"/>
            </w:tcMar>
            <w:vAlign w:val="center"/>
          </w:tcPr>
          <w:p>
            <w:pPr>
              <w:spacing w:after="0" w:line="252" w:lineRule="auto"/>
            </w:pPr>
            <w:r>
              <w:rPr>
                <w:rFonts w:ascii="Calibri" w:hAnsi="Calibri"/>
                <w:b/>
                <w:color w:val="0B2545"/>
                <w:sz w:val="18"/>
              </w:rPr>
              <w:t>No.</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Member</w:t>
            </w:r>
          </w:p>
        </w:tc>
        <w:tc>
          <w:tcPr>
            <w:tcW w:type="dxa" w:w="1200"/>
            <w:shd w:fill="F2F4F7"/>
            <w:tcMar>
              <w:top w:w="80" w:type="dxa"/>
              <w:start w:w="120" w:type="dxa"/>
              <w:bottom w:w="80" w:type="dxa"/>
              <w:end w:w="120" w:type="dxa"/>
            </w:tcMar>
            <w:vAlign w:val="center"/>
          </w:tcPr>
          <w:p>
            <w:pPr>
              <w:spacing w:after="0" w:line="252" w:lineRule="auto"/>
            </w:pPr>
            <w:r>
              <w:rPr>
                <w:rFonts w:ascii="Calibri" w:hAnsi="Calibri"/>
                <w:b/>
                <w:color w:val="0B2545"/>
                <w:sz w:val="18"/>
              </w:rPr>
              <w:t>Student ID</w:t>
            </w:r>
          </w:p>
        </w:tc>
        <w:tc>
          <w:tcPr>
            <w:tcW w:type="dxa" w:w="3000"/>
            <w:shd w:fill="F2F4F7"/>
            <w:tcMar>
              <w:top w:w="80" w:type="dxa"/>
              <w:start w:w="120" w:type="dxa"/>
              <w:bottom w:w="80" w:type="dxa"/>
              <w:end w:w="120" w:type="dxa"/>
            </w:tcMar>
            <w:vAlign w:val="center"/>
          </w:tcPr>
          <w:p>
            <w:pPr>
              <w:spacing w:after="0" w:line="252" w:lineRule="auto"/>
            </w:pPr>
            <w:r>
              <w:rPr>
                <w:rFonts w:ascii="Calibri" w:hAnsi="Calibri"/>
                <w:b/>
                <w:color w:val="0B2545"/>
                <w:sz w:val="18"/>
              </w:rPr>
              <w:t>Main role</w:t>
            </w:r>
          </w:p>
        </w:tc>
        <w:tc>
          <w:tcPr>
            <w:tcW w:type="dxa" w:w="2660"/>
            <w:shd w:fill="F2F4F7"/>
            <w:tcMar>
              <w:top w:w="80" w:type="dxa"/>
              <w:start w:w="120" w:type="dxa"/>
              <w:bottom w:w="80" w:type="dxa"/>
              <w:end w:w="120" w:type="dxa"/>
            </w:tcMar>
            <w:vAlign w:val="center"/>
          </w:tcPr>
          <w:p>
            <w:pPr>
              <w:spacing w:after="0" w:line="252" w:lineRule="auto"/>
            </w:pPr>
            <w:r>
              <w:rPr>
                <w:rFonts w:ascii="Calibri" w:hAnsi="Calibri"/>
                <w:b/>
                <w:color w:val="0B2545"/>
                <w:sz w:val="18"/>
              </w:rPr>
              <w:t>Supporting role</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1</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21127645</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FIFA.com ProductResearch Co-Lead</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Writing, source check, peer review within ProductResearch, and final QA</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2</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21127224</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FIFA.com ProductResearch Co-Lead</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Writing, source check, peer review within ProductResearch, and final QA</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3</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20127119</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Chess.com ProductResearch Co-Lead</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Writing, source check, peer review within ProductResearch, and final QA</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4</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22127318</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Chess.com ProductResearch Co-Lead</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Writing, source check, peer review within ProductResearch, and final QA</w:t>
            </w:r>
          </w:p>
        </w:tc>
      </w:tr>
    </w:tbl>
    <w:p/>
    <w:p>
      <w:pPr>
        <w:pStyle w:val="Heading1"/>
      </w:pPr>
      <w:r>
        <w:t>3. General responsibility division</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1550"/>
        <w:gridCol w:w="3200"/>
        <w:gridCol w:w="2500"/>
        <w:gridCol w:w="2110"/>
      </w:tblGrid>
      <w:tr>
        <w:tc>
          <w:tcPr>
            <w:tcW w:type="dxa" w:w="1550"/>
            <w:shd w:fill="F2F4F7"/>
            <w:tcMar>
              <w:top w:w="80" w:type="dxa"/>
              <w:start w:w="120" w:type="dxa"/>
              <w:bottom w:w="80" w:type="dxa"/>
              <w:end w:w="120" w:type="dxa"/>
            </w:tcMar>
            <w:vAlign w:val="center"/>
          </w:tcPr>
          <w:p>
            <w:pPr>
              <w:spacing w:after="0" w:line="252" w:lineRule="auto"/>
            </w:pPr>
            <w:r>
              <w:rPr>
                <w:rFonts w:ascii="Calibri" w:hAnsi="Calibri"/>
                <w:b/>
                <w:color w:val="0B2545"/>
                <w:sz w:val="18"/>
              </w:rPr>
              <w:t>Member</w:t>
            </w:r>
          </w:p>
        </w:tc>
        <w:tc>
          <w:tcPr>
            <w:tcW w:type="dxa" w:w="3200"/>
            <w:shd w:fill="F2F4F7"/>
            <w:tcMar>
              <w:top w:w="80" w:type="dxa"/>
              <w:start w:w="120" w:type="dxa"/>
              <w:bottom w:w="80" w:type="dxa"/>
              <w:end w:w="120" w:type="dxa"/>
            </w:tcMar>
            <w:vAlign w:val="center"/>
          </w:tcPr>
          <w:p>
            <w:pPr>
              <w:spacing w:after="0" w:line="252" w:lineRule="auto"/>
            </w:pPr>
            <w:r>
              <w:rPr>
                <w:rFonts w:ascii="Calibri" w:hAnsi="Calibri"/>
                <w:b/>
                <w:color w:val="0B2545"/>
                <w:sz w:val="18"/>
              </w:rPr>
              <w:t>Main responsibilities</w:t>
            </w:r>
          </w:p>
        </w:tc>
        <w:tc>
          <w:tcPr>
            <w:tcW w:type="dxa" w:w="2500"/>
            <w:shd w:fill="F2F4F7"/>
            <w:tcMar>
              <w:top w:w="80" w:type="dxa"/>
              <w:start w:w="120" w:type="dxa"/>
              <w:bottom w:w="80" w:type="dxa"/>
              <w:end w:w="120" w:type="dxa"/>
            </w:tcMar>
            <w:vAlign w:val="center"/>
          </w:tcPr>
          <w:p>
            <w:pPr>
              <w:spacing w:after="0" w:line="252" w:lineRule="auto"/>
            </w:pPr>
            <w:r>
              <w:rPr>
                <w:rFonts w:ascii="Calibri" w:hAnsi="Calibri"/>
                <w:b/>
                <w:color w:val="0B2545"/>
                <w:sz w:val="18"/>
              </w:rPr>
              <w:t>Supporting responsibilities</w:t>
            </w:r>
          </w:p>
        </w:tc>
        <w:tc>
          <w:tcPr>
            <w:tcW w:type="dxa" w:w="2110"/>
            <w:shd w:fill="F2F4F7"/>
            <w:tcMar>
              <w:top w:w="80" w:type="dxa"/>
              <w:start w:w="120" w:type="dxa"/>
              <w:bottom w:w="80" w:type="dxa"/>
              <w:end w:w="120" w:type="dxa"/>
            </w:tcMar>
            <w:vAlign w:val="center"/>
          </w:tcPr>
          <w:p>
            <w:pPr>
              <w:spacing w:after="0" w:line="252" w:lineRule="auto"/>
            </w:pPr>
            <w:r>
              <w:rPr>
                <w:rFonts w:ascii="Calibri" w:hAnsi="Calibri"/>
                <w:b/>
                <w:color w:val="0B2545"/>
                <w:sz w:val="18"/>
              </w:rPr>
              <w:t>Expected outputs</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Research FIFA.com together with Nguyen Vu Bach; collect sources and screenshot evidence; write FIFA.com product overview, users, personas, use cases, benefits, drawbacks, and HCI findings.</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Review Chess.com ProductResearch sections; check citations, screenshot captions, and comparison consistency.</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FIFA.com research content; FIFA.com screenshot notes; ProductResearch writing; review comments; ProductResearch QA checklist item.</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Research FIFA.com together with Le Minh; collect sources and screenshot evidence; write FIFA.com product overview, users, personas, use cases, benefits, drawbacks, and HCI findings.</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Review Chess.com ProductResearch sections; check citations, screenshot captions, and comparison consistency.</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FIFA.com research content; FIFA.com screenshot notes; ProductResearch writing; review comments; ProductResearch QA checklist item.</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Research Chess.com together with Trang Minh Nhut; collect sources and screenshot evidence; write Chess.com product overview, users, personas, use cases, benefits, drawbacks, and HCI findings.</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Review FIFA.com ProductResearch sections; check citations, screenshot captions, and comparison consistency.</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Chess.com research content; Chess.com screenshot notes; ProductResearch writing; review comments; ProductResearch QA checklist item.</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Research Chess.com together with Pham Nguyen Gia Bao; collect sources and screenshot evidence; write Chess.com product overview, users, personas, use cases, benefits, drawbacks, and HCI findings.</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Review FIFA.com ProductResearch sections; check citations, screenshot captions, and comparison consistency.</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Chess.com research content; Chess.com screenshot notes; ProductResearch writing; review comments; ProductResearch QA checklist item.</w:t>
            </w:r>
          </w:p>
        </w:tc>
      </w:tr>
    </w:tbl>
    <w:p/>
    <w:p>
      <w:r>
        <w:br w:type="page"/>
      </w:r>
    </w:p>
    <w:p>
      <w:pPr>
        <w:pStyle w:val="Heading1"/>
      </w:pPr>
      <w:r>
        <w:t>4. ProductResearch ownership</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1650"/>
        <w:gridCol w:w="2200"/>
        <w:gridCol w:w="2050"/>
        <w:gridCol w:w="1900"/>
        <w:gridCol w:w="1560"/>
      </w:tblGrid>
      <w:tr>
        <w:tc>
          <w:tcPr>
            <w:tcW w:type="dxa" w:w="1650"/>
            <w:shd w:fill="F2F4F7"/>
            <w:tcMar>
              <w:top w:w="80" w:type="dxa"/>
              <w:start w:w="120" w:type="dxa"/>
              <w:bottom w:w="80" w:type="dxa"/>
              <w:end w:w="120" w:type="dxa"/>
            </w:tcMar>
            <w:vAlign w:val="center"/>
          </w:tcPr>
          <w:p>
            <w:pPr>
              <w:spacing w:after="0" w:line="252" w:lineRule="auto"/>
            </w:pPr>
            <w:r>
              <w:rPr>
                <w:rFonts w:ascii="Calibri" w:hAnsi="Calibri"/>
                <w:b/>
                <w:color w:val="0B2545"/>
                <w:sz w:val="18"/>
              </w:rPr>
              <w:t>ProductResearch part</w:t>
            </w:r>
          </w:p>
        </w:tc>
        <w:tc>
          <w:tcPr>
            <w:tcW w:type="dxa" w:w="2200"/>
            <w:shd w:fill="F2F4F7"/>
            <w:tcMar>
              <w:top w:w="80" w:type="dxa"/>
              <w:start w:w="120" w:type="dxa"/>
              <w:bottom w:w="80" w:type="dxa"/>
              <w:end w:w="120" w:type="dxa"/>
            </w:tcMar>
            <w:vAlign w:val="center"/>
          </w:tcPr>
          <w:p>
            <w:pPr>
              <w:spacing w:after="0" w:line="252" w:lineRule="auto"/>
            </w:pPr>
            <w:r>
              <w:rPr>
                <w:rFonts w:ascii="Calibri" w:hAnsi="Calibri"/>
                <w:b/>
                <w:color w:val="0B2545"/>
                <w:sz w:val="18"/>
              </w:rPr>
              <w:t>Assigned product</w:t>
            </w:r>
          </w:p>
        </w:tc>
        <w:tc>
          <w:tcPr>
            <w:tcW w:type="dxa" w:w="2050"/>
            <w:shd w:fill="F2F4F7"/>
            <w:tcMar>
              <w:top w:w="80" w:type="dxa"/>
              <w:start w:w="120" w:type="dxa"/>
              <w:bottom w:w="80" w:type="dxa"/>
              <w:end w:w="120" w:type="dxa"/>
            </w:tcMar>
            <w:vAlign w:val="center"/>
          </w:tcPr>
          <w:p>
            <w:pPr>
              <w:spacing w:after="0" w:line="252" w:lineRule="auto"/>
            </w:pPr>
            <w:r>
              <w:rPr>
                <w:rFonts w:ascii="Calibri" w:hAnsi="Calibri"/>
                <w:b/>
                <w:color w:val="0B2545"/>
                <w:sz w:val="18"/>
              </w:rPr>
              <w:t>Main members</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Cross-review members</w:t>
            </w:r>
          </w:p>
        </w:tc>
        <w:tc>
          <w:tcPr>
            <w:tcW w:type="dxa" w:w="1560"/>
            <w:shd w:fill="F2F4F7"/>
            <w:tcMar>
              <w:top w:w="80" w:type="dxa"/>
              <w:start w:w="120" w:type="dxa"/>
              <w:bottom w:w="80" w:type="dxa"/>
              <w:end w:w="120" w:type="dxa"/>
            </w:tcMar>
            <w:vAlign w:val="center"/>
          </w:tcPr>
          <w:p>
            <w:pPr>
              <w:spacing w:after="0" w:line="252" w:lineRule="auto"/>
            </w:pPr>
            <w:r>
              <w:rPr>
                <w:rFonts w:ascii="Calibri" w:hAnsi="Calibri"/>
                <w:b/>
                <w:color w:val="0B2545"/>
                <w:sz w:val="18"/>
              </w:rPr>
              <w:t>Required contribution</w:t>
            </w:r>
          </w:p>
        </w:tc>
      </w:tr>
      <w:tr>
        <w:tc>
          <w:tcPr>
            <w:tcW w:type="dxa" w:w="1650"/>
            <w:tcMar>
              <w:top w:w="80" w:type="dxa"/>
              <w:start w:w="120" w:type="dxa"/>
              <w:bottom w:w="80" w:type="dxa"/>
              <w:end w:w="120" w:type="dxa"/>
            </w:tcMar>
            <w:vAlign w:val="center"/>
          </w:tcPr>
          <w:p>
            <w:pPr>
              <w:spacing w:after="0" w:line="252" w:lineRule="auto"/>
            </w:pPr>
            <w:r>
              <w:rPr>
                <w:rFonts w:ascii="Calibri" w:hAnsi="Calibri"/>
                <w:b w:val="0"/>
                <w:color w:val="000000"/>
                <w:sz w:val="17"/>
              </w:rPr>
              <w:t>Product overview and source log</w:t>
            </w:r>
          </w:p>
        </w:tc>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FIFA.com</w:t>
            </w:r>
          </w:p>
        </w:tc>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Le Minh, Nguyen Vu Bach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 Trang Minh Nhut</w:t>
            </w:r>
          </w:p>
        </w:tc>
        <w:tc>
          <w:tcPr>
            <w:tcW w:type="dxa" w:w="1560"/>
            <w:tcMar>
              <w:top w:w="80" w:type="dxa"/>
              <w:start w:w="120" w:type="dxa"/>
              <w:bottom w:w="80" w:type="dxa"/>
              <w:end w:w="120" w:type="dxa"/>
            </w:tcMar>
            <w:vAlign w:val="center"/>
          </w:tcPr>
          <w:p>
            <w:pPr>
              <w:spacing w:after="0" w:line="252" w:lineRule="auto"/>
            </w:pPr>
            <w:r>
              <w:rPr>
                <w:rFonts w:ascii="Calibri" w:hAnsi="Calibri"/>
                <w:b w:val="0"/>
                <w:color w:val="000000"/>
                <w:sz w:val="17"/>
              </w:rPr>
              <w:t>Official sources, product purpose, target users, main HCI touchpoints</w:t>
            </w:r>
          </w:p>
        </w:tc>
      </w:tr>
      <w:tr>
        <w:tc>
          <w:tcPr>
            <w:tcW w:type="dxa" w:w="1650"/>
            <w:tcMar>
              <w:top w:w="80" w:type="dxa"/>
              <w:start w:w="120" w:type="dxa"/>
              <w:bottom w:w="80" w:type="dxa"/>
              <w:end w:w="120" w:type="dxa"/>
            </w:tcMar>
            <w:vAlign w:val="center"/>
          </w:tcPr>
          <w:p>
            <w:pPr>
              <w:spacing w:after="0" w:line="252" w:lineRule="auto"/>
            </w:pPr>
            <w:r>
              <w:rPr>
                <w:rFonts w:ascii="Calibri" w:hAnsi="Calibri"/>
                <w:b w:val="0"/>
                <w:color w:val="000000"/>
                <w:sz w:val="17"/>
              </w:rPr>
              <w:t>Product overview and source log</w:t>
            </w:r>
          </w:p>
        </w:tc>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Chess.com</w:t>
            </w:r>
          </w:p>
        </w:tc>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 Trang Minh Nhut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Le Minh, Nguyen Vu Bach</w:t>
            </w:r>
          </w:p>
        </w:tc>
        <w:tc>
          <w:tcPr>
            <w:tcW w:type="dxa" w:w="1560"/>
            <w:tcMar>
              <w:top w:w="80" w:type="dxa"/>
              <w:start w:w="120" w:type="dxa"/>
              <w:bottom w:w="80" w:type="dxa"/>
              <w:end w:w="120" w:type="dxa"/>
            </w:tcMar>
            <w:vAlign w:val="center"/>
          </w:tcPr>
          <w:p>
            <w:pPr>
              <w:spacing w:after="0" w:line="252" w:lineRule="auto"/>
            </w:pPr>
            <w:r>
              <w:rPr>
                <w:rFonts w:ascii="Calibri" w:hAnsi="Calibri"/>
                <w:b w:val="0"/>
                <w:color w:val="000000"/>
                <w:sz w:val="17"/>
              </w:rPr>
              <w:t>Official sources, product purpose, target users, main HCI touchpoints</w:t>
            </w:r>
          </w:p>
        </w:tc>
      </w:tr>
      <w:tr>
        <w:tc>
          <w:tcPr>
            <w:tcW w:type="dxa" w:w="1650"/>
            <w:tcMar>
              <w:top w:w="80" w:type="dxa"/>
              <w:start w:w="120" w:type="dxa"/>
              <w:bottom w:w="80" w:type="dxa"/>
              <w:end w:w="120" w:type="dxa"/>
            </w:tcMar>
            <w:vAlign w:val="center"/>
          </w:tcPr>
          <w:p>
            <w:pPr>
              <w:spacing w:after="0" w:line="252" w:lineRule="auto"/>
            </w:pPr>
            <w:r>
              <w:rPr>
                <w:rFonts w:ascii="Calibri" w:hAnsi="Calibri"/>
                <w:b w:val="0"/>
                <w:color w:val="000000"/>
                <w:sz w:val="17"/>
              </w:rPr>
              <w:t>Personas and use cases</w:t>
            </w:r>
          </w:p>
        </w:tc>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FIFA.com</w:t>
            </w:r>
          </w:p>
        </w:tc>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Le Minh, Nguyen Vu Bach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 Trang Minh Nhut</w:t>
            </w:r>
          </w:p>
        </w:tc>
        <w:tc>
          <w:tcPr>
            <w:tcW w:type="dxa" w:w="1560"/>
            <w:tcMar>
              <w:top w:w="80" w:type="dxa"/>
              <w:start w:w="120" w:type="dxa"/>
              <w:bottom w:w="80" w:type="dxa"/>
              <w:end w:w="120" w:type="dxa"/>
            </w:tcMar>
            <w:vAlign w:val="center"/>
          </w:tcPr>
          <w:p>
            <w:pPr>
              <w:spacing w:after="0" w:line="252" w:lineRule="auto"/>
            </w:pPr>
            <w:r>
              <w:rPr>
                <w:rFonts w:ascii="Calibri" w:hAnsi="Calibri"/>
                <w:b w:val="0"/>
                <w:color w:val="000000"/>
                <w:sz w:val="17"/>
              </w:rPr>
              <w:t>FIFA.com personas, realistic user goals, task flows, context, preconditions, feedback</w:t>
            </w:r>
          </w:p>
        </w:tc>
      </w:tr>
      <w:tr>
        <w:tc>
          <w:tcPr>
            <w:tcW w:type="dxa" w:w="1650"/>
            <w:tcMar>
              <w:top w:w="80" w:type="dxa"/>
              <w:start w:w="120" w:type="dxa"/>
              <w:bottom w:w="80" w:type="dxa"/>
              <w:end w:w="120" w:type="dxa"/>
            </w:tcMar>
            <w:vAlign w:val="center"/>
          </w:tcPr>
          <w:p>
            <w:pPr>
              <w:spacing w:after="0" w:line="252" w:lineRule="auto"/>
            </w:pPr>
            <w:r>
              <w:rPr>
                <w:rFonts w:ascii="Calibri" w:hAnsi="Calibri"/>
                <w:b w:val="0"/>
                <w:color w:val="000000"/>
                <w:sz w:val="17"/>
              </w:rPr>
              <w:t>Personas and use cases</w:t>
            </w:r>
          </w:p>
        </w:tc>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Chess.com</w:t>
            </w:r>
          </w:p>
        </w:tc>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 Trang Minh Nhut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Le Minh, Nguyen Vu Bach</w:t>
            </w:r>
          </w:p>
        </w:tc>
        <w:tc>
          <w:tcPr>
            <w:tcW w:type="dxa" w:w="1560"/>
            <w:tcMar>
              <w:top w:w="80" w:type="dxa"/>
              <w:start w:w="120" w:type="dxa"/>
              <w:bottom w:w="80" w:type="dxa"/>
              <w:end w:w="120" w:type="dxa"/>
            </w:tcMar>
            <w:vAlign w:val="center"/>
          </w:tcPr>
          <w:p>
            <w:pPr>
              <w:spacing w:after="0" w:line="252" w:lineRule="auto"/>
            </w:pPr>
            <w:r>
              <w:rPr>
                <w:rFonts w:ascii="Calibri" w:hAnsi="Calibri"/>
                <w:b w:val="0"/>
                <w:color w:val="000000"/>
                <w:sz w:val="17"/>
              </w:rPr>
              <w:t>Chess.com personas, realistic user goals, task flows, context, preconditions, feedback</w:t>
            </w:r>
          </w:p>
        </w:tc>
      </w:tr>
      <w:tr>
        <w:tc>
          <w:tcPr>
            <w:tcW w:type="dxa" w:w="1650"/>
            <w:tcMar>
              <w:top w:w="80" w:type="dxa"/>
              <w:start w:w="120" w:type="dxa"/>
              <w:bottom w:w="80" w:type="dxa"/>
              <w:end w:w="120" w:type="dxa"/>
            </w:tcMar>
            <w:vAlign w:val="center"/>
          </w:tcPr>
          <w:p>
            <w:pPr>
              <w:spacing w:after="0" w:line="252" w:lineRule="auto"/>
            </w:pPr>
            <w:r>
              <w:rPr>
                <w:rFonts w:ascii="Calibri" w:hAnsi="Calibri"/>
                <w:b w:val="0"/>
                <w:color w:val="000000"/>
                <w:sz w:val="17"/>
              </w:rPr>
              <w:t>HCI findings, benefits, drawbacks</w:t>
            </w:r>
          </w:p>
        </w:tc>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Both products</w:t>
            </w:r>
          </w:p>
        </w:tc>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All members by assigned product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Opposite product pair</w:t>
            </w:r>
          </w:p>
        </w:tc>
        <w:tc>
          <w:tcPr>
            <w:tcW w:type="dxa" w:w="1560"/>
            <w:tcMar>
              <w:top w:w="80" w:type="dxa"/>
              <w:start w:w="120" w:type="dxa"/>
              <w:bottom w:w="80" w:type="dxa"/>
              <w:end w:w="120" w:type="dxa"/>
            </w:tcMar>
            <w:vAlign w:val="center"/>
          </w:tcPr>
          <w:p>
            <w:pPr>
              <w:spacing w:after="0" w:line="252" w:lineRule="auto"/>
            </w:pPr>
            <w:r>
              <w:rPr>
                <w:rFonts w:ascii="Calibri" w:hAnsi="Calibri"/>
                <w:b w:val="0"/>
                <w:color w:val="000000"/>
                <w:sz w:val="17"/>
              </w:rPr>
              <w:t>Concrete HCI concepts, screenshots, benefits, drawbacks, and comparison notes for ProductResearch only</w:t>
            </w:r>
          </w:p>
        </w:tc>
      </w:tr>
    </w:tbl>
    <w:p/>
    <w:p>
      <w:pPr>
        <w:pStyle w:val="Heading1"/>
      </w:pPr>
      <w:r>
        <w:t>5. Workload balance summary</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050"/>
        <w:gridCol w:w="1800"/>
        <w:gridCol w:w="1900"/>
        <w:gridCol w:w="1900"/>
        <w:gridCol w:w="1710"/>
      </w:tblGrid>
      <w:tr>
        <w:tc>
          <w:tcPr>
            <w:tcW w:type="dxa" w:w="2050"/>
            <w:shd w:fill="F2F4F7"/>
            <w:tcMar>
              <w:top w:w="80" w:type="dxa"/>
              <w:start w:w="120" w:type="dxa"/>
              <w:bottom w:w="80" w:type="dxa"/>
              <w:end w:w="120" w:type="dxa"/>
            </w:tcMar>
            <w:vAlign w:val="center"/>
          </w:tcPr>
          <w:p>
            <w:pPr>
              <w:spacing w:after="0" w:line="252" w:lineRule="auto"/>
            </w:pPr>
            <w:r>
              <w:rPr>
                <w:rFonts w:ascii="Calibri" w:hAnsi="Calibri"/>
                <w:b/>
                <w:color w:val="0B2545"/>
                <w:sz w:val="18"/>
              </w:rPr>
              <w:t>Work category</w:t>
            </w:r>
          </w:p>
        </w:tc>
        <w:tc>
          <w:tcPr>
            <w:tcW w:type="dxa" w:w="1800"/>
            <w:shd w:fill="F2F4F7"/>
            <w:tcMar>
              <w:top w:w="80" w:type="dxa"/>
              <w:start w:w="120" w:type="dxa"/>
              <w:bottom w:w="80" w:type="dxa"/>
              <w:end w:w="120" w:type="dxa"/>
            </w:tcMar>
            <w:vAlign w:val="center"/>
          </w:tcPr>
          <w:p>
            <w:pPr>
              <w:spacing w:after="0" w:line="252" w:lineRule="auto"/>
            </w:pPr>
            <w:r>
              <w:rPr>
                <w:rFonts w:ascii="Calibri" w:hAnsi="Calibri"/>
                <w:b/>
                <w:color w:val="0B2545"/>
                <w:sz w:val="18"/>
              </w:rPr>
              <w:t>Le Minh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Nguyen Vu Bach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Pham Nguyen Gia Bao</w:t>
            </w:r>
          </w:p>
        </w:tc>
        <w:tc>
          <w:tcPr>
            <w:tcW w:type="dxa" w:w="1710"/>
            <w:shd w:fill="F2F4F7"/>
            <w:tcMar>
              <w:top w:w="80" w:type="dxa"/>
              <w:start w:w="120" w:type="dxa"/>
              <w:bottom w:w="80" w:type="dxa"/>
              <w:end w:w="120" w:type="dxa"/>
            </w:tcMar>
            <w:vAlign w:val="center"/>
          </w:tcPr>
          <w:p>
            <w:pPr>
              <w:spacing w:after="0" w:line="252" w:lineRule="auto"/>
            </w:pPr>
            <w:r>
              <w:rPr>
                <w:rFonts w:ascii="Calibri" w:hAnsi="Calibri"/>
                <w:b/>
                <w:color w:val="0B2545"/>
                <w:sz w:val="18"/>
              </w:rPr>
              <w:t>Trang Minh Nhut</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Project coordination</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Shared</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Shared</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Shared</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Shared</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FIFA.com research</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Co-lead</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Co-lead</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Cross-review</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Cross-review</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Chess.com research</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Cross-review</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Cross-review</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Co-lead</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Co-lead</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Screenshot collection</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FIFA.com screenshots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 screenshots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 screenshots</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Chess.com screenshots</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Personas and use cases</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FIFA.com personas/use cases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 personas/use cases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 personas/use cases</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Chess.com personas/use cases</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HCI findings</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FIFA.com HCI findings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 HCI findings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 HCI findings</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Chess.com HCI findings</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Benefits and drawbacks</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FIFA.com benefits/drawbacks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 benefits/drawbacks</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 benefits/drawbacks</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Chess.com benefits/drawbacks</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Cross-product comparison</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FIFA.com comparison input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 comparison input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 comparison input</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Chess.com comparison input</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 review</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Review Chess.com section</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Review Chess.com section</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Review FIFA.com section</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Review FIFA.com section</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 QA</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Citation and formatting check</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Citation and formatting check</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Screenshot and HCI consistency check</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Screenshot and HCI consistency check</w:t>
            </w:r>
          </w:p>
        </w:tc>
      </w:tr>
    </w:tbl>
    <w:p/>
    <w:p>
      <w:r>
        <w:br w:type="page"/>
      </w:r>
    </w:p>
    <w:p>
      <w:pPr>
        <w:pStyle w:val="Heading1"/>
      </w:pPr>
      <w:r>
        <w:t>6. RACI matrix</w:t>
      </w:r>
    </w:p>
    <w:p>
      <w:pPr/>
      <w:r>
        <w:t>Legend: R = Responsible, A = Accountable, C = Consulted, I = Informed.</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600"/>
        <w:gridCol w:w="1500"/>
        <w:gridCol w:w="1900"/>
        <w:gridCol w:w="1900"/>
        <w:gridCol w:w="1460"/>
      </w:tblGrid>
      <w:tr>
        <w:tc>
          <w:tcPr>
            <w:tcW w:type="dxa" w:w="2600"/>
            <w:shd w:fill="F2F4F7"/>
            <w:tcMar>
              <w:top w:w="80" w:type="dxa"/>
              <w:start w:w="120" w:type="dxa"/>
              <w:bottom w:w="80" w:type="dxa"/>
              <w:end w:w="120" w:type="dxa"/>
            </w:tcMar>
            <w:vAlign w:val="center"/>
          </w:tcPr>
          <w:p>
            <w:pPr>
              <w:spacing w:after="0" w:line="252" w:lineRule="auto"/>
            </w:pPr>
            <w:r>
              <w:rPr>
                <w:rFonts w:ascii="Calibri" w:hAnsi="Calibri"/>
                <w:b/>
                <w:color w:val="0B2545"/>
                <w:sz w:val="18"/>
              </w:rPr>
              <w:t>Task</w:t>
            </w:r>
          </w:p>
        </w:tc>
        <w:tc>
          <w:tcPr>
            <w:tcW w:type="dxa" w:w="1500"/>
            <w:shd w:fill="F2F4F7"/>
            <w:tcMar>
              <w:top w:w="80" w:type="dxa"/>
              <w:start w:w="120" w:type="dxa"/>
              <w:bottom w:w="80" w:type="dxa"/>
              <w:end w:w="120" w:type="dxa"/>
            </w:tcMar>
            <w:vAlign w:val="center"/>
          </w:tcPr>
          <w:p>
            <w:pPr>
              <w:spacing w:after="0" w:line="252" w:lineRule="auto"/>
            </w:pPr>
            <w:r>
              <w:rPr>
                <w:rFonts w:ascii="Calibri" w:hAnsi="Calibri"/>
                <w:b/>
                <w:color w:val="0B2545"/>
                <w:sz w:val="18"/>
              </w:rPr>
              <w:t>Le Minh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Nguyen Vu Bach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Pham Nguyen Gia Bao</w:t>
            </w:r>
          </w:p>
        </w:tc>
        <w:tc>
          <w:tcPr>
            <w:tcW w:type="dxa" w:w="1460"/>
            <w:shd w:fill="F2F4F7"/>
            <w:tcMar>
              <w:top w:w="80" w:type="dxa"/>
              <w:start w:w="120" w:type="dxa"/>
              <w:bottom w:w="80" w:type="dxa"/>
              <w:end w:w="120" w:type="dxa"/>
            </w:tcMar>
            <w:vAlign w:val="center"/>
          </w:tcPr>
          <w:p>
            <w:pPr>
              <w:spacing w:after="0" w:line="252" w:lineRule="auto"/>
            </w:pPr>
            <w:r>
              <w:rPr>
                <w:rFonts w:ascii="Calibri" w:hAnsi="Calibri"/>
                <w:b/>
                <w:color w:val="0B2545"/>
                <w:sz w:val="18"/>
              </w:rPr>
              <w:t>Trang Minh Nhut</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 scope and checklist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FIFA.com research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Chess.com research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Screenshot evidence</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Personas and use cases</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HCI analysis</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 for Chess.com</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 report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Cross-product comparison</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 final QA</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R</w:t>
            </w:r>
          </w:p>
        </w:tc>
      </w:tr>
    </w:tbl>
    <w:p/>
    <w:p>
      <w:pPr>
        <w:pStyle w:val="Heading1"/>
      </w:pPr>
      <w:r>
        <w:t>7. Expected contribution from each member</w:t>
      </w:r>
    </w:p>
    <w:p>
      <w:r>
        <w:rPr>
          <w:b/>
        </w:rPr>
        <w:t xml:space="preserve">Le Minh: </w:t>
      </w:r>
      <w:r>
        <w:t>Responsible for the FIFA.com side together with Nguyen Vu Bach. He collects sources, screenshots, personas, use cases, HCI findings, benefits, drawbacks, comparison input, section writing, cross-review, and ProductResearch QA checks.</w:t>
      </w:r>
    </w:p>
    <w:p>
      <w:r>
        <w:rPr>
          <w:b/>
        </w:rPr>
        <w:t xml:space="preserve">Nguyen Vu Bach: </w:t>
      </w:r>
      <w:r>
        <w:t>Responsible for the FIFA.com side together with Le Minh. He collects sources, screenshots, personas, use cases, HCI findings, benefits, drawbacks, comparison input, section writing, cross-review, and ProductResearch QA checks.</w:t>
      </w:r>
    </w:p>
    <w:p>
      <w:r>
        <w:rPr>
          <w:b/>
        </w:rPr>
        <w:t xml:space="preserve">Pham Nguyen Gia Bao: </w:t>
      </w:r>
      <w:r>
        <w:t>Responsible for the Chess.com side together with Trang Minh Nhut. He collects sources, screenshots, personas, use cases, HCI findings, benefits, drawbacks, comparison input, section writing, cross-review, and ProductResearch QA checks.</w:t>
      </w:r>
    </w:p>
    <w:p>
      <w:r>
        <w:rPr>
          <w:b/>
        </w:rPr>
        <w:t xml:space="preserve">Trang Minh Nhut: </w:t>
      </w:r>
      <w:r>
        <w:t>Responsible for the Chess.com side together with Pham Nguyen Gia Bao. He collects sources, screenshots, personas, use cases, HCI findings, benefits, drawbacks, comparison input, section writing, cross-review, and ProductResearch QA checks.</w:t>
      </w:r>
    </w:p>
    <w:p>
      <w:r>
        <w:br w:type="page"/>
      </w:r>
    </w:p>
    <w:p>
      <w:pPr>
        <w:pStyle w:val="Heading1"/>
      </w:pPr>
      <w:r>
        <w:t>8. Quality checklist</w:t>
      </w:r>
    </w:p>
    <w:p>
      <w:pPr/>
      <w:r>
        <w:rPr>
          <w:sz w:val="22"/>
        </w:rPr>
        <w:t xml:space="preserve">☐ </w:t>
      </w:r>
      <w:r>
        <w:t>Product pair is FIFA.com and Chess.com.</w:t>
      </w:r>
    </w:p>
    <w:p>
      <w:pPr/>
      <w:r>
        <w:rPr>
          <w:sz w:val="22"/>
        </w:rPr>
        <w:t xml:space="preserve">☐ </w:t>
      </w:r>
      <w:r>
        <w:t>FIFA.com has exactly 2 research members: Le Minh and Nguyen Vu Bach.</w:t>
      </w:r>
    </w:p>
    <w:p>
      <w:pPr/>
      <w:r>
        <w:rPr>
          <w:sz w:val="22"/>
        </w:rPr>
        <w:t xml:space="preserve">☐ </w:t>
      </w:r>
      <w:r>
        <w:t>Chess.com has exactly 2 research members: Pham Nguyen Gia Bao and Trang Minh Nhut.</w:t>
      </w:r>
    </w:p>
    <w:p>
      <w:pPr/>
      <w:r>
        <w:rPr>
          <w:sz w:val="22"/>
        </w:rPr>
        <w:t xml:space="preserve">☐ </w:t>
      </w:r>
      <w:r>
        <w:t>All 4 members have clear responsibilities.</w:t>
      </w:r>
    </w:p>
    <w:p>
      <w:pPr/>
      <w:r>
        <w:rPr>
          <w:sz w:val="22"/>
        </w:rPr>
        <w:t xml:space="preserve">☐ </w:t>
      </w:r>
      <w:r>
        <w:t>No member has only minor tasks.</w:t>
      </w:r>
    </w:p>
    <w:p>
      <w:pPr/>
      <w:r>
        <w:rPr>
          <w:sz w:val="22"/>
        </w:rPr>
        <w:t xml:space="preserve">☐ </w:t>
      </w:r>
      <w:r>
        <w:t>ProductResearch has both products.</w:t>
      </w:r>
    </w:p>
    <w:p>
      <w:pPr/>
      <w:r>
        <w:rPr>
          <w:sz w:val="22"/>
        </w:rPr>
        <w:t xml:space="preserve">☐ </w:t>
      </w:r>
      <w:r>
        <w:t>ProductResearch has users, personas, use cases, screenshots, HCI findings, benefits, drawbacks, and comparison.</w:t>
      </w:r>
    </w:p>
    <w:p>
      <w:pPr/>
      <w:r>
        <w:rPr>
          <w:sz w:val="22"/>
        </w:rPr>
        <w:t xml:space="preserve">☐ </w:t>
      </w:r>
      <w:r>
        <w:t>Each website has product overview, source evidence, personas, use cases, HCI findings, benefits, drawbacks, and screenshots.</w:t>
      </w:r>
    </w:p>
    <w:p>
      <w:pPr/>
      <w:r>
        <w:rPr>
          <w:sz w:val="22"/>
        </w:rPr>
        <w:t xml:space="preserve">☐ </w:t>
      </w:r>
      <w:r>
        <w:t>Each member has research, writing, review, and ProductResearch QA responsibilities.</w:t>
      </w:r>
    </w:p>
    <w:p>
      <w:pPr/>
      <w:r>
        <w:rPr>
          <w:sz w:val="22"/>
        </w:rPr>
        <w:t xml:space="preserve">☐ </w:t>
      </w:r>
      <w:r>
        <w:t>Only GroupID-PA1-ProductResearch.pdf is divided in this document.</w:t>
      </w:r>
    </w:p>
    <w:p>
      <w:pPr>
        <w:pStyle w:val="Heading1"/>
      </w:pPr>
      <w:r>
        <w:t>9. Signature table</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300"/>
        <w:gridCol w:w="1500"/>
        <w:gridCol w:w="3100"/>
        <w:gridCol w:w="2460"/>
      </w:tblGrid>
      <w:tr>
        <w:tc>
          <w:tcPr>
            <w:tcW w:type="dxa" w:w="2300"/>
            <w:shd w:fill="F2F4F7"/>
            <w:tcMar>
              <w:top w:w="80" w:type="dxa"/>
              <w:start w:w="120" w:type="dxa"/>
              <w:bottom w:w="80" w:type="dxa"/>
              <w:end w:w="120" w:type="dxa"/>
            </w:tcMar>
            <w:vAlign w:val="center"/>
          </w:tcPr>
          <w:p>
            <w:pPr>
              <w:spacing w:after="0" w:line="252" w:lineRule="auto"/>
            </w:pPr>
            <w:r>
              <w:rPr>
                <w:rFonts w:ascii="Calibri" w:hAnsi="Calibri"/>
                <w:b/>
                <w:color w:val="0B2545"/>
                <w:sz w:val="18"/>
              </w:rPr>
              <w:t>Member</w:t>
            </w:r>
          </w:p>
        </w:tc>
        <w:tc>
          <w:tcPr>
            <w:tcW w:type="dxa" w:w="1500"/>
            <w:shd w:fill="F2F4F7"/>
            <w:tcMar>
              <w:top w:w="80" w:type="dxa"/>
              <w:start w:w="120" w:type="dxa"/>
              <w:bottom w:w="80" w:type="dxa"/>
              <w:end w:w="120" w:type="dxa"/>
            </w:tcMar>
            <w:vAlign w:val="center"/>
          </w:tcPr>
          <w:p>
            <w:pPr>
              <w:spacing w:after="0" w:line="252" w:lineRule="auto"/>
            </w:pPr>
            <w:r>
              <w:rPr>
                <w:rFonts w:ascii="Calibri" w:hAnsi="Calibri"/>
                <w:b/>
                <w:color w:val="0B2545"/>
                <w:sz w:val="18"/>
              </w:rPr>
              <w:t>Student ID</w:t>
            </w:r>
          </w:p>
        </w:tc>
        <w:tc>
          <w:tcPr>
            <w:tcW w:type="dxa" w:w="3100"/>
            <w:shd w:fill="F2F4F7"/>
            <w:tcMar>
              <w:top w:w="80" w:type="dxa"/>
              <w:start w:w="120" w:type="dxa"/>
              <w:bottom w:w="80" w:type="dxa"/>
              <w:end w:w="120" w:type="dxa"/>
            </w:tcMar>
            <w:vAlign w:val="center"/>
          </w:tcPr>
          <w:p>
            <w:pPr>
              <w:spacing w:after="0" w:line="252" w:lineRule="auto"/>
            </w:pPr>
            <w:r>
              <w:rPr>
                <w:rFonts w:ascii="Calibri" w:hAnsi="Calibri"/>
                <w:b/>
                <w:color w:val="0B2545"/>
                <w:sz w:val="18"/>
              </w:rPr>
              <w:t>Confirmed responsibilities</w:t>
            </w:r>
          </w:p>
        </w:tc>
        <w:tc>
          <w:tcPr>
            <w:tcW w:type="dxa" w:w="2460"/>
            <w:shd w:fill="F2F4F7"/>
            <w:tcMar>
              <w:top w:w="80" w:type="dxa"/>
              <w:start w:w="120" w:type="dxa"/>
              <w:bottom w:w="80" w:type="dxa"/>
              <w:end w:w="120" w:type="dxa"/>
            </w:tcMar>
            <w:vAlign w:val="center"/>
          </w:tcPr>
          <w:p>
            <w:pPr>
              <w:spacing w:after="0" w:line="252" w:lineRule="auto"/>
            </w:pPr>
            <w:r>
              <w:rPr>
                <w:rFonts w:ascii="Calibri" w:hAnsi="Calibri"/>
                <w:b/>
                <w:color w:val="0B2545"/>
                <w:sz w:val="18"/>
              </w:rPr>
              <w:t>Signature</w:t>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21127645</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Confirmed</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21127224</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Confirmed</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20127119</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Confirmed</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22127318</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Confirmed</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bl>
    <w:p/>
    <w:sectPr w:rsidR="00FC693F" w:rsidRPr="0006063C" w:rsidSect="00034616">
      <w:headerReference w:type="default" r:id="rId9"/>
      <w:footerReference w:type="default" r:id="rId10"/>
      <w:pgSz w:w="11906" w:h="16838"/>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FIFA.com and Chess.com HCI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555555"/>
        <w:sz w:val="18"/>
      </w:rPr>
      <w:t>PA1 Work Division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