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8"/>
        </w:rPr>
        <w:t>PROJECT ASSIGNMENT 2</w:t>
      </w:r>
    </w:p>
    <w:p>
      <w:pPr>
        <w:pStyle w:val="Title"/>
        <w:jc w:val="center"/>
      </w:pPr>
      <w:r>
        <w:t>Group10-PA2 Peer Review</w:t>
      </w:r>
    </w:p>
    <w:p>
      <w:pPr>
        <w:pStyle w:val="Subtitle"/>
        <w:jc w:val="center"/>
      </w:pPr>
      <w:r>
        <w:t>Internal / simulated peer review for design QA</w:t>
      </w:r>
    </w:p>
    <w:p>
      <w:pPr>
        <w:spacing w:before="360"/>
        <w:jc w:val="center"/>
      </w:pPr>
      <w:r>
        <w:rPr>
          <w:b/>
          <w:color w:val="123B65"/>
          <w:sz w:val="28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2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2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2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2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28"/>
              </w:rPr>
              <w:t>Scope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Internal / simulated peer review for design QA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[[TOC]]</w:t>
      </w:r>
    </w:p>
    <w:p>
      <w:r>
        <w:br w:type="page"/>
      </w:r>
    </w:p>
    <w:p>
      <w:pPr>
        <w:pStyle w:val="Heading1"/>
      </w:pPr>
      <w:r>
        <w:t>INTERNAL / SIMULATED PEER REVIEW FOR DESIGN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Review boundary: </w:t>
            </w:r>
            <w:r>
              <w:t>No verified presentation feedback is available. The items below are an internal, simulated review of visible screenshots, diagrams, and report pages. They are not presented as comments from external peers.</w:t>
            </w:r>
          </w:p>
        </w:tc>
      </w:tr>
    </w:tbl>
    <w:p>
      <w:pPr>
        <w:spacing w:after="20"/>
      </w:pPr>
    </w:p>
    <w:p>
      <w:pPr>
        <w:pStyle w:val="Heading2"/>
      </w:pPr>
      <w:r>
        <w:t>QA-01 - FIFA mobile ticket cards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FIFA mobile ticket cards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selected tournament can move below a long vertical card stack.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mobile capture shows repeated stacked cards before later options.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Keep the selected tournament and current state in a compact summary.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Project Proposal; Use 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persistent context to the Concierge and F-UC01 visual.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next decision remains visible after filters change.</w:t>
            </w:r>
          </w:p>
        </w:tc>
      </w:tr>
    </w:tbl>
    <w:p>
      <w:pPr>
        <w:pStyle w:val="Heading2"/>
      </w:pPr>
      <w:r>
        <w:t>QA-02 - Chess mobile lessons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Chess mobile lessons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long lesson list makes the next beginner task hard to locate.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capture shows many lesson groups in one vertical sequence.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Place one Continue lesson action before the catalog.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User Research; User Analysis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a learning-priority step to the Chess work model.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model leads to one lesson or puzzle before advanced depth.</w:t>
            </w:r>
          </w:p>
        </w:tc>
      </w:tr>
    </w:tbl>
    <w:p>
      <w:pPr>
        <w:pStyle w:val="Heading2"/>
      </w:pPr>
      <w:r>
        <w:t>QA-03 - Guided Concierge question step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Guided Concierge question step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Required tournament and email input lacked a defined validation response.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earlier low-fidelity screen listed fields but no field-level error or recovery.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 inline message, preserve valid answers, and provide a correction action.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Project Proposal; Use 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validation screen and state contract.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user can correct one field without restarting.</w:t>
            </w:r>
          </w:p>
        </w:tc>
      </w:tr>
    </w:tbl>
    <w:p>
      <w:pPr>
        <w:pStyle w:val="Heading2"/>
      </w:pPr>
      <w:r>
        <w:t>QA-04 - Ticket destination handoff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Ticket destination handoff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partner boundary was not explained before Continue.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Existing ticket captures show an outbound action and a later partner state.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Preview domain, account expectation, and return behavior.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Project Proposal; Use 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destination preview and Continue/Stay decision.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handoff identifies what changes and what context remains.</w:t>
            </w:r>
          </w:p>
        </w:tc>
      </w:tr>
    </w:tbl>
    <w:p>
      <w:pPr>
        <w:pStyle w:val="Heading2"/>
      </w:pPr>
      <w:r>
        <w:t>QA-05 - Use-case document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Use-case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 repeated overview image would not prove twelve distinct task states.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use cases have different triggers and outputs.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Use a different UI state for every use case.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Use 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twelve unique use-case visuals beside their specifications.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Each visual now matches its trigger and primary action.</w:t>
            </w:r>
          </w:p>
        </w:tc>
      </w:tr>
    </w:tbl>
    <w:p>
      <w:pPr>
        <w:pStyle w:val="Heading2"/>
      </w:pPr>
      <w:r>
        <w:t>QA-06 - Shared state feedback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Shared state feedback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Color alone would not distinguish status, error, and success.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High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Status chips and error panels use related accent colors.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Pair color with a state label, message, action, and recovery.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Project Proposal; Use Case Document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Added text labels to every state card.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state meaning remains available without relying on color.</w:t>
            </w:r>
          </w:p>
        </w:tc>
      </w:tr>
    </w:tbl>
    <w:p>
      <w:pPr>
        <w:pStyle w:val="Heading2"/>
      </w:pPr>
      <w:r>
        <w:t>QA-07 - Mobile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Review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 or artifact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Mobile controls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Issue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source screenshots do not provide a reliable pixel measurement for every tap target.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Severity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Medium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Reason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Screenshot scaling prevents a defensible size claim.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Recommendation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Set a design rule instead of claiming the current controls fail.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Affected report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Project Proposal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Action taken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Specified 48 px button height and persistent labels.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Result after revision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concept has a measurable mobile acceptance rule.</w:t>
            </w:r>
          </w:p>
        </w:tc>
      </w:tr>
    </w:tbl>
    <w:p>
      <w:pPr>
        <w:pStyle w:val="Heading1"/>
      </w:pPr>
      <w:r>
        <w:t>Evidence excerpts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0000" cy="63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chess-lessons-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PR-EV-01A. </w:t>
      </w:r>
      <w:r>
        <w:t>Chess mobile Lessons page - Top; the first visible learning groups.</w:t>
      </w:r>
      <w:r>
        <w:rPr>
          <w:i/>
          <w:color w:val="5B6573"/>
          <w:sz w:val="28"/>
        </w:rPr>
        <w:br/>
        <w:t>Source: Internal design QA item</w:t>
        <w:br/>
        <w:t>Related: 14.0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0000" cy="63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chess-lessons-midd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PR-EV-01B. </w:t>
      </w:r>
      <w:r>
        <w:t>Chess mobile Lessons page - Middle; the continued lesson sequence.</w:t>
      </w:r>
      <w:r>
        <w:rPr>
          <w:i/>
          <w:color w:val="5B6573"/>
          <w:sz w:val="28"/>
        </w:rPr>
        <w:br/>
        <w:t>Source: Internal design QA item</w:t>
        <w:br/>
        <w:t>Related: 14.0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00000" cy="63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chess-lessons-bott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PR-EV-01C. </w:t>
      </w:r>
      <w:r>
        <w:t>Chess mobile Lessons page - Bottom; later groups and page end.</w:t>
      </w:r>
      <w:r>
        <w:rPr>
          <w:i/>
          <w:color w:val="5B6573"/>
          <w:sz w:val="28"/>
        </w:rPr>
        <w:br/>
        <w:t>Source: Internal design QA item</w:t>
        <w:br/>
        <w:t>Related: 14.0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4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09-decision-su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PR-EV-02. </w:t>
      </w:r>
      <w:r>
        <w:t>FIFA ticket decision surface used to review state and handoff wording.</w:t>
      </w:r>
      <w:r>
        <w:rPr>
          <w:i/>
          <w:color w:val="5B6573"/>
          <w:sz w:val="28"/>
        </w:rPr>
        <w:br/>
        <w:t>Source: Internal design QA item</w:t>
        <w:br/>
        <w:t>Related: 14.0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8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concierge-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PR-EV-03. </w:t>
      </w:r>
      <w:r>
        <w:t>Revised validation state showing field message, correction action, and recovery.</w:t>
      </w:r>
      <w:r>
        <w:rPr>
          <w:i/>
          <w:color w:val="5B6573"/>
          <w:sz w:val="28"/>
        </w:rPr>
        <w:br/>
        <w:t>Source: Internal design QA item</w:t>
        <w:br/>
        <w:t>Related: 14.0</w:t>
      </w:r>
    </w:p>
    <w:p>
      <w:pPr>
        <w:pStyle w:val="Heading1"/>
      </w:pPr>
      <w:r>
        <w:t>Practical Difficulties and Lessons Learned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Practical difficulty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How the group handled it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Lesson learned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28"/>
              </w:rPr>
              <w:t>Impact on the final version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No verified presentation feedback existed.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group changed the artifact title and disclosure to internal/simulated design QA.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Feedback provenance must be explicit.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final review does not attribute comments to external peers.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Some review claims could not be measured from scaled screenshots.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The group converted them into measurable design requirements instead of unsupported findings.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Evidence limits should change the wording of a review item.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28"/>
              </w:rPr>
              <w:t>Tap targets now have a 48 px concept rule without claiming a measured defect in the source.</w:t>
            </w:r>
          </w:p>
        </w:tc>
      </w:tr>
    </w:tbl>
    <w:sectPr w:rsidR="00FC693F" w:rsidRPr="0006063C" w:rsidSect="00034616">
      <w:headerReference w:type="default" r:id="rId14"/>
      <w:footerReference w:type="default" r:id="rId15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28"/>
      </w:rPr>
      <w:t xml:space="preserve">PeerReview  |  Group10  |  </w:t>
    </w:r>
    <w:r>
      <w:rPr>
        <w:rFonts w:ascii="Arial" w:hAnsi="Arial"/>
        <w:color w:val="5B6573"/>
        <w:sz w:val="2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28"/>
      </w:rPr>
      <w:t>GROUP10  |  CSC13112 UI/UX DESIGN  |  PEERREVIEW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sz w:val="28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sz w:val="28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Peer Review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