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Group10 PA4 · Hi-fi Prototype</w:t>
      </w:r>
    </w:p>
    <w:p>
      <w:pPr>
        <w:spacing w:after="260"/>
      </w:pPr>
      <w:r>
        <w:rPr>
          <w:color w:val="1D7387"/>
          <w:sz w:val="22"/>
        </w:rPr>
        <w:t>FIFA Status Dashboard + Chess Beginner Review Flow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0D8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97551D"/>
                <w:sz w:val="16"/>
              </w:rPr>
              <w:t>YOUTUBE DEMO LINK</w:t>
              <w:br/>
            </w:r>
            <w:r>
              <w:rPr>
                <w:color w:val="081D2B"/>
                <w:sz w:val="20"/>
              </w:rPr>
              <w:t>YouTube demo link: REQUIRED EXTERNAL EVIDENCE BEFORE SUBMISSION</w:t>
            </w:r>
          </w:p>
        </w:tc>
      </w:tr>
    </w:tbl>
    <w:p>
      <w:pPr>
        <w:spacing w:after="0"/>
      </w:pPr>
    </w:p>
    <w:p>
      <w:r>
        <w:t>This editable report records the locally achievable hi-fi implementation. No genuine external demo URL is invented while that evidence is missing.</w:t>
      </w:r>
    </w:p>
    <w:p>
      <w:pPr>
        <w:pStyle w:val="Heading1"/>
      </w:pPr>
      <w:r>
        <w:t>Project continuity</w:t>
      </w:r>
    </w:p>
    <w:p>
      <w:r>
        <w:t>PA1 established FIFA.com as a browse-first official football ecosystem and Chess.com as an action-first play, review, and learning platform. PA2 translated those findings into the Status Dashboard and Beginner Review concepts. PA3 selected FIFA Alt 1 and Chess Alt 1 for the PA4 hi-fi implementation.</w:t>
      </w:r>
    </w:p>
    <w:p>
      <w:pPr>
        <w:pStyle w:val="Heading1"/>
      </w:pPr>
      <w:r>
        <w:t>Hi-fi design objectives</w:t>
      </w:r>
    </w:p>
    <w:p>
      <w:pPr>
        <w:pStyle w:val="ListBullet"/>
        <w:spacing w:after="60"/>
        <w:ind w:left="720" w:hanging="360"/>
      </w:pPr>
      <w:r>
        <w:t>Make the current state or learning moment visible before secondary detail.</w:t>
      </w:r>
    </w:p>
    <w:p>
      <w:pPr>
        <w:pStyle w:val="ListBullet"/>
        <w:spacing w:after="60"/>
        <w:ind w:left="720" w:hanging="360"/>
      </w:pPr>
      <w:r>
        <w:t>Place the next action beside the explanation that makes it meaningful.</w:t>
      </w:r>
    </w:p>
    <w:p>
      <w:pPr>
        <w:pStyle w:val="ListBullet"/>
        <w:spacing w:after="60"/>
        <w:ind w:left="720" w:hanging="360"/>
      </w:pPr>
      <w:r>
        <w:t>Use text, icon, and state treatment together so color is not the only cue.</w:t>
      </w:r>
    </w:p>
    <w:p>
      <w:pPr>
        <w:pStyle w:val="ListBullet"/>
        <w:spacing w:after="60"/>
        <w:ind w:left="720" w:hanging="360"/>
      </w:pPr>
      <w:r>
        <w:t>Make external transitions and recovery states testable in a deterministic offline demo.</w:t>
      </w:r>
    </w:p>
    <w:p>
      <w:pPr>
        <w:pStyle w:val="ListBullet"/>
        <w:spacing w:after="60"/>
        <w:ind w:left="720" w:hanging="360"/>
      </w:pPr>
      <w:r>
        <w:t>Keep the responsive surface usable at 1440 × 900 and 390 × 844.</w:t>
      </w:r>
    </w:p>
    <w:p>
      <w:pPr>
        <w:pStyle w:val="Heading1"/>
      </w:pPr>
      <w:r>
        <w:t>FIFA Status Dashboard</w:t>
      </w:r>
    </w:p>
    <w:p>
      <w:r>
        <w:t>The FIFA flow uses a status-first editorial surface with fictional Mexico City pending and Toronto confirmed events. Official source, freshness, ownership, action adjacency, and the partner boundary remain visible without claiming a live transaction.</w:t>
      </w:r>
    </w:p>
    <w:p>
      <w:r>
        <w:drawing>
          <wp:inline xmlns:a="http://schemas.openxmlformats.org/drawingml/2006/main" xmlns:pic="http://schemas.openxmlformats.org/drawingml/2006/picture">
            <wp:extent cx="5806440" cy="5278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fa-desktop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78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D7F84"/>
          <w:sz w:val="16"/>
        </w:rPr>
        <w:t>Figure: fifa desktop overview</w:t>
      </w:r>
    </w:p>
    <w:p>
      <w:pPr>
        <w:pStyle w:val="Heading2"/>
      </w:pPr>
      <w:r>
        <w:t>FIFA key interactions</w:t>
      </w:r>
    </w:p>
    <w:p>
      <w:pPr>
        <w:pStyle w:val="ListNumber"/>
        <w:spacing w:after="60"/>
        <w:ind w:left="720" w:hanging="360"/>
      </w:pPr>
      <w:r>
        <w:t>Select Pending or Confirmed event rows.</w:t>
      </w:r>
    </w:p>
    <w:p>
      <w:pPr>
        <w:pStyle w:val="ListNumber"/>
        <w:spacing w:after="60"/>
        <w:ind w:left="720" w:hanging="360"/>
      </w:pPr>
      <w:r>
        <w:t>Reveal the status definition and next owner.</w:t>
      </w:r>
    </w:p>
    <w:p>
      <w:pPr>
        <w:pStyle w:val="ListNumber"/>
        <w:spacing w:after="60"/>
        <w:ind w:left="720" w:hanging="360"/>
      </w:pPr>
      <w:r>
        <w:t>Open order or ticket detail.</w:t>
      </w:r>
    </w:p>
    <w:p>
      <w:pPr>
        <w:pStyle w:val="ListNumber"/>
        <w:spacing w:after="60"/>
        <w:ind w:left="720" w:hanging="360"/>
      </w:pPr>
      <w:r>
        <w:t>Save the confirmed event to the calendar.</w:t>
      </w:r>
    </w:p>
    <w:p>
      <w:pPr>
        <w:pStyle w:val="ListNumber"/>
        <w:spacing w:after="60"/>
        <w:ind w:left="720" w:hanging="360"/>
      </w:pPr>
      <w:r>
        <w:t>Preview the partner destination before transfer.</w:t>
      </w:r>
    </w:p>
    <w:p>
      <w:pPr>
        <w:pStyle w:val="ListNumber"/>
        <w:spacing w:after="60"/>
        <w:ind w:left="720" w:hanging="360"/>
      </w:pPr>
      <w:r>
        <w:t>Stay or continue, then return with context.</w:t>
      </w:r>
    </w:p>
    <w:p>
      <w:pPr>
        <w:pStyle w:val="ListNumber"/>
        <w:spacing w:after="60"/>
        <w:ind w:left="720" w:hanging="360"/>
      </w:pPr>
      <w:r>
        <w:t>Presenter mode can preview unavailable and reset states; study mode removes those researcher controls.</w:t>
      </w:r>
    </w:p>
    <w:p>
      <w:r>
        <w:drawing>
          <wp:inline xmlns:a="http://schemas.openxmlformats.org/drawingml/2006/main" xmlns:pic="http://schemas.openxmlformats.org/drawingml/2006/picture">
            <wp:extent cx="5212080" cy="47379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fa-desktop-hando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73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D7F84"/>
          <w:sz w:val="16"/>
        </w:rPr>
        <w:t>Figure: fifa desktop handoff</w:t>
      </w:r>
    </w:p>
    <w:p>
      <w:pPr>
        <w:pStyle w:val="Heading1"/>
      </w:pPr>
      <w:r>
        <w:t>Chess Beginner Review Flow</w:t>
      </w:r>
    </w:p>
    <w:p>
      <w:r>
        <w:t>The Chess flow uses a guided one-mistake-at-a-time route. The validated scenario checks Qh5: Nxh5 captures the queen. The revealed alternative is Qe2, and the separate practice position uses Qd3. Check an opponent's attack before moving a valuable piece.</w:t>
      </w:r>
    </w:p>
    <w:p>
      <w:r>
        <w:drawing>
          <wp:inline xmlns:a="http://schemas.openxmlformats.org/drawingml/2006/main" xmlns:pic="http://schemas.openxmlformats.org/drawingml/2006/picture">
            <wp:extent cx="5806440" cy="40564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ss-desktop-mistak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5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D7F84"/>
          <w:sz w:val="16"/>
        </w:rPr>
        <w:t>Figure: chess desktop mistake</w:t>
      </w:r>
    </w:p>
    <w:p>
      <w:pPr>
        <w:pStyle w:val="ListNumber"/>
        <w:spacing w:after="60"/>
        <w:ind w:left="720" w:hanging="360"/>
      </w:pPr>
      <w:r>
        <w:t>Start from an intro state that does not reveal the answer.</w:t>
      </w:r>
    </w:p>
    <w:p>
      <w:pPr>
        <w:pStyle w:val="ListNumber"/>
        <w:spacing w:after="60"/>
        <w:ind w:left="720" w:hanging="360"/>
      </w:pPr>
      <w:r>
        <w:t>Read the mistake and immediate consequence in plain language.</w:t>
      </w:r>
    </w:p>
    <w:p>
      <w:pPr>
        <w:pStyle w:val="ListNumber"/>
        <w:spacing w:after="60"/>
        <w:ind w:left="720" w:hanging="360"/>
      </w:pPr>
      <w:r>
        <w:t>Reveal the better move only at the appropriate stage.</w:t>
      </w:r>
    </w:p>
    <w:p>
      <w:pPr>
        <w:pStyle w:val="ListNumber"/>
        <w:spacing w:after="60"/>
        <w:ind w:left="720" w:hanging="360"/>
      </w:pPr>
      <w:r>
        <w:t>Select the source piece and destination on the trial board; wrong moves give feedback and can be retried.</w:t>
      </w:r>
    </w:p>
    <w:p>
      <w:pPr>
        <w:pStyle w:val="ListNumber"/>
        <w:spacing w:after="60"/>
        <w:ind w:left="720" w:hanging="360"/>
      </w:pPr>
      <w:r>
        <w:t>Complete the separate practice position with the same source-to-destination interaction.</w:t>
      </w:r>
    </w:p>
    <w:p>
      <w:pPr>
        <w:pStyle w:val="ListNumber"/>
        <w:spacing w:after="60"/>
        <w:ind w:left="720" w:hanging="360"/>
      </w:pPr>
      <w:r>
        <w:t>Finish the route or return to the review without losing context.</w:t>
      </w:r>
    </w:p>
    <w:p>
      <w:r>
        <w:drawing>
          <wp:inline xmlns:a="http://schemas.openxmlformats.org/drawingml/2006/main" xmlns:pic="http://schemas.openxmlformats.org/drawingml/2006/picture">
            <wp:extent cx="5212080" cy="36412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ss-desktop-practi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41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D7F84"/>
          <w:sz w:val="16"/>
        </w:rPr>
        <w:t>Figure: chess desktop practice</w:t>
      </w:r>
    </w:p>
    <w:p>
      <w:pPr>
        <w:pStyle w:val="Heading1"/>
      </w:pPr>
      <w:r>
        <w:t>Study routes and responsive validation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746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FIFA study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?mode=study&amp;product=fifa#fifa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Chess study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?mode=study&amp;product=chess#chess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Viewport</w:t>
            </w:r>
          </w:p>
        </w:tc>
        <w:tc>
          <w:tcPr>
            <w:tcW w:type="dxa" w:w="756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Validated behavior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1440 × 900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Product hierarchy, rail guidance, board interaction, and primary controls remain usable.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390 × 844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Columns stack, board remains readable, controls wrap, and no horizontal overflow is expected.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Study mode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Researcher branding, launcher, reset/preview controls, and demo help are removed from the participant DOM.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Presenter mode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Launcher, demo labels, help, reset, and unavailable-state preview remain available for demonstration and QA.</w:t>
            </w:r>
          </w:p>
        </w:tc>
      </w:tr>
    </w:tbl>
    <w:p>
      <w:pPr>
        <w:spacing w:after="0"/>
      </w:pPr>
    </w:p>
    <w:p>
      <w:pPr>
        <w:pStyle w:val="Heading1"/>
      </w:pPr>
      <w:r>
        <w:t>Limitations and external evidence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0D8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97551D"/>
                <w:sz w:val="16"/>
              </w:rPr>
              <w:t>BLOCKED EXTERNALLY</w:t>
              <w:br/>
            </w:r>
            <w:r>
              <w:rPr>
                <w:color w:val="081D2B"/>
                <w:sz w:val="20"/>
              </w:rPr>
              <w:t>A genuine YouTube demo URL, real participant sessions, verified recordings, questionnaire/interview evidence, and measured task timings are not local facts. The prototype is locally runnable and browser-tested, but it does not use live FIFA, ticketing, partner, or Chess.com backends.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D7F84"/>
        <w:sz w:val="16"/>
      </w:rPr>
      <w:t>CSC13112 UI/UX Design · 2026 · Evidence state must remain truthful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D7387"/>
        <w:sz w:val="16"/>
      </w:rPr>
      <w:t>GROUP10 / PA4     HI-FI PROTOTYPE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81D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81D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D73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81D2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81D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