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</w:pPr>
      <w:r>
        <w:rPr>
          <w:rFonts w:ascii="Calibri" w:hAnsi="Calibri"/>
          <w:b/>
          <w:i w:val="0"/>
          <w:color w:val="2E74B5"/>
          <w:sz w:val="20"/>
        </w:rPr>
        <w:t>PROJECT ASSIGNMENT 2</w:t>
      </w:r>
    </w:p>
    <w:p>
      <w:pPr>
        <w:spacing w:before="0" w:after="80"/>
      </w:pPr>
      <w:r>
        <w:rPr>
          <w:rFonts w:ascii="Calibri" w:hAnsi="Calibri"/>
          <w:b/>
          <w:i w:val="0"/>
          <w:color w:val="1F2937"/>
          <w:sz w:val="48"/>
        </w:rPr>
        <w:t>Internal Instructor-Style Review</w:t>
      </w:r>
    </w:p>
    <w:p>
      <w:pPr>
        <w:spacing w:after="240"/>
      </w:pPr>
      <w:r>
        <w:rPr>
          <w:rFonts w:ascii="Calibri" w:hAnsi="Calibri"/>
          <w:b w:val="0"/>
          <w:i w:val="0"/>
          <w:color w:val="5B6573"/>
          <w:sz w:val="22"/>
        </w:rPr>
        <w:t>Group10 | FIFA.com and Chess.com | Final PA2 document review</w:t>
      </w:r>
    </w:p>
    <w:p>
      <w:pPr>
        <w:spacing w:before="0" w:after="200"/>
        <w:ind w:left="202" w:right="202"/>
        <w:shd w:fill="F4F6F9"/>
      </w:pPr>
      <w:r>
        <w:rPr>
          <w:rFonts w:ascii="Calibri" w:hAnsi="Calibri"/>
          <w:b w:val="0"/>
          <w:i/>
          <w:color w:val="1F2937"/>
          <w:sz w:val="21"/>
        </w:rPr>
        <w:t>This review is an internal instructor-style evaluation prepared to check the PA2 deliverables against the assignment requirements. It is not presented as recorded lecturer feedback.</w:t>
      </w:r>
    </w:p>
    <w:p>
      <w:pPr>
        <w:pStyle w:val="Heading1"/>
      </w:pPr>
      <w:r>
        <w:t>1. Review Summary</w:t>
      </w:r>
    </w:p>
    <w:p>
      <w:r>
        <w:t>The five main reports provide strong coverage of PA2 Requirements 1-4 and 6, with clear continuity from PA1, explicit research and analysis artifacts, six differentiated concepts, detailed use-case specifications, and a complete three-week process record. The main remaining concern is final consistency: captions must stay within visible evidence, voting values and charts must agree, proposal concepts must map cleanly to use-case or flow visuals, and TOC fields, pagination, tables, and diagrams must be checked after export.</w:t>
      </w:r>
    </w:p>
    <w:p>
      <w:pPr>
        <w:pStyle w:val="Heading1"/>
      </w:pPr>
      <w:r>
        <w:t>2. Comments and Team Responses</w:t>
      </w:r>
    </w:p>
    <w:tbl>
      <w:tblPr>
        <w:tblW w:type="dxa" w:w="1382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600"/>
        <w:gridCol w:w="4200"/>
        <w:gridCol w:w="3224"/>
      </w:tblGrid>
      <w:tr>
        <w:trPr>
          <w:tblHeader w:val="true"/>
        </w:trPr>
        <w:tc>
          <w:tcPr>
            <w:tcW w:type="dxa" w:w="18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Commenter</w:t>
            </w:r>
          </w:p>
        </w:tc>
        <w:tc>
          <w:tcPr>
            <w:tcW w:type="dxa" w:w="46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Feedback / Question</w:t>
            </w:r>
          </w:p>
        </w:tc>
        <w:tc>
          <w:tcPr>
            <w:tcW w:type="dxa" w:w="4200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Group Response</w:t>
            </w:r>
          </w:p>
        </w:tc>
        <w:tc>
          <w:tcPr>
            <w:tcW w:type="dxa" w:w="3224"/>
            <w:shd w:fill="2E74B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Revision / Action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Research structure is complete, but screenshot claims must always match visible pixels.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checked captions and limited claims to visible states.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Keep corrected FIFA ticket and pre-handoff captions.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Affinity synthesis is clear, but voting totals and charts must remain consistent.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cross-checked member totals and visualization values.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Correct any mismatch before final export.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six alternatives satisfy the requirement for different concepts. Guided Concierge is detailed enough when branch and recovery flows are included.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keeps Status Dashboard as the recommendation and Guided Concierge / Alert-First Planner as parallel alternatives.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No major expansion needed.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Use-case specifications are strong and include alternate/error paths. Ensure conceptual solutions are represented by use-case diagrams or flow models as required by the brief.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checks mapping from all six proposal concepts to the use-case/flow section.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Keep final diagrams and mappings consistent.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three-week process and member contributions are clear. TOC and page numbers must match the final document.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updates fields before export.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Refresh TOC.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Large tables and diagrams should remain readable at normal page size.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uses landscape or split tables where needed.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Verify final pagination before export.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practical difficulties section is useful because it shows what changed during the project.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keeps concise examples from screenshot validation, long-page layout, affinity synthesis, and prototype revision.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Keep section concise.</w:t>
            </w:r>
          </w:p>
        </w:tc>
      </w:tr>
      <w:tr>
        <w:trPr>
          <w:cantSplit/>
          <w:trHeight w:hRule="atLeast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Simulated Instructor Reviewer</w:t>
            </w:r>
          </w:p>
        </w:tc>
        <w:tc>
          <w:tcPr>
            <w:tcW w:type="dxa" w:w="4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project shows clear continuity from PA1 to two focused PA2 problems and is well prepared for PA3 prototyping.</w:t>
            </w:r>
          </w:p>
        </w:tc>
        <w:tc>
          <w:tcPr>
            <w:tcW w:type="dxa" w:w="42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The team will validate the selected concepts in PA3.</w:t>
            </w:r>
          </w:p>
        </w:tc>
        <w:tc>
          <w:tcPr>
            <w:tcW w:type="dxa" w:w="32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2F4F7"/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i w:val="0"/>
                <w:color w:val="1F2937"/>
                <w:sz w:val="19"/>
              </w:rPr>
              <w:t>Carry PA3 validation questions forward.</w:t>
            </w:r>
          </w:p>
        </w:tc>
      </w:tr>
    </w:tbl>
    <w:p>
      <w:pPr>
        <w:pStyle w:val="Heading1"/>
      </w:pPr>
      <w:r>
        <w:t>3. Overall Evaluation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User Research: strong coverage of methods, simulated participants and sessions, personas, screenshot evidence, work models, and PA1 continuity.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User Analysis: clear synthesis from brainstorming and affinity clustering through voting, prioritization, and two tough problems.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Proposal: sufficiently differentiated alternatives, with three concepts for FIFA and three for Chess.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Use Case: detailed and traceable, with actors, system boundaries, main flows, and alternate/error paths.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Weekly Report: complete three-week process record with task ownership, continuity, progress, and lessons learned.</w:t>
      </w:r>
    </w:p>
    <w:p>
      <w:pPr>
        <w:pStyle w:val="ListBullet"/>
        <w:keepLines/>
      </w:pPr>
      <w:r>
        <w:rPr>
          <w:rFonts w:ascii="Calibri" w:hAnsi="Calibri"/>
          <w:b w:val="0"/>
          <w:i w:val="0"/>
          <w:color w:val="1F2937"/>
          <w:sz w:val="21"/>
        </w:rPr>
        <w:t>Main remaining risk: cross-document consistency and final document QA, especially captions, voting values, mappings, TOC fields, and pagination.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8"/>
      </w:rPr>
      <w:t xml:space="preserve">Group10 - PA2 |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B6573"/>
        <w:sz w:val="18"/>
      </w:rPr>
      <w:t>CSC13112 - UI/UX Design | PA2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Instructor-Style Review</dc:title>
  <dc:subject>Internal PA2 requirements review; not recorded lecturer feedback</dc:subject>
  <dc:creator>Group10</dc:creator>
  <cp:keywords>PA2, internal review, UI/UX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