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Meridian Trust Bank – Cloud Computing Resources</w:t>
      </w:r>
    </w:p>
    <w:p>
      <w:pPr>
        <w:pStyle w:val="BodyText"/>
        <w:rPr/>
      </w:pPr>
      <w:r>
        <w:rPr/>
        <w:t>Meridian Trust Bank utilizes a limited cloud computing environment to support non-critical workloads. Due to internal data privacy policies, all systems that process or interact with customer-level financial data remain on infrastructure owned and operated by the bank.</w:t>
      </w:r>
    </w:p>
    <w:p>
      <w:pPr>
        <w:pStyle w:val="BodyText"/>
        <w:rPr/>
      </w:pPr>
      <w:r>
        <w:rPr>
          <w:b w:val="false"/>
          <w:bCs w:val="false"/>
        </w:rPr>
        <w:t xml:space="preserve">The cloud environment is used only for workloads that do not rely on </w:t>
      </w:r>
      <w:r>
        <w:rPr>
          <w:rStyle w:val="Strong"/>
          <w:b w:val="false"/>
          <w:bCs w:val="false"/>
        </w:rPr>
        <w:t>transaction records</w:t>
      </w:r>
      <w:r>
        <w:rPr>
          <w:b w:val="false"/>
          <w:bCs w:val="false"/>
        </w:rPr>
        <w:t xml:space="preserve">, </w:t>
      </w:r>
      <w:r>
        <w:rPr>
          <w:rStyle w:val="Strong"/>
          <w:b w:val="false"/>
          <w:bCs w:val="false"/>
        </w:rPr>
        <w:t>account identifiers</w:t>
      </w:r>
      <w:r>
        <w:rPr>
          <w:b w:val="false"/>
          <w:bCs w:val="false"/>
        </w:rPr>
        <w:t>, or direct interaction with core banking operations. These workloads primarily support customer-facing services, internal tools, and development activities.</w:t>
      </w:r>
    </w:p>
    <w:p>
      <w:pPr>
        <w:pStyle w:val="BodyText"/>
        <w:rPr/>
      </w:pPr>
      <w:r>
        <w:rPr/>
        <w:t>The bank has access to cloud computing resources in three geographic regions:</w:t>
      </w:r>
    </w:p>
    <w:p>
      <w:pPr>
        <w:pStyle w:val="BodyText"/>
        <w:numPr>
          <w:ilvl w:val="0"/>
          <w:numId w:val="7"/>
        </w:numPr>
        <w:tabs>
          <w:tab w:val="clear" w:pos="720"/>
          <w:tab w:val="left" w:pos="0" w:leader="none"/>
        </w:tabs>
        <w:spacing w:before="0" w:after="0"/>
        <w:ind w:hanging="283" w:left="709"/>
        <w:rPr/>
      </w:pPr>
      <w:r>
        <w:rPr>
          <w:rStyle w:val="Strong"/>
        </w:rPr>
        <w:t>Midwest (Primary Region)</w:t>
      </w:r>
      <w:r>
        <w:rPr/>
        <w:br/>
        <w:t xml:space="preserve">This region </w:t>
      </w:r>
      <w:r>
        <w:rPr/>
        <w:t>houses the bank’s own data center and backup data center site.</w:t>
      </w:r>
    </w:p>
    <w:p>
      <w:pPr>
        <w:pStyle w:val="BodyText"/>
        <w:spacing w:before="0" w:after="0"/>
        <w:rPr/>
      </w:pPr>
      <w:r>
        <w:rPr/>
      </w:r>
    </w:p>
    <w:p>
      <w:pPr>
        <w:pStyle w:val="BodyText"/>
        <w:numPr>
          <w:ilvl w:val="0"/>
          <w:numId w:val="7"/>
        </w:numPr>
        <w:tabs>
          <w:tab w:val="clear" w:pos="720"/>
          <w:tab w:val="left" w:pos="0" w:leader="none"/>
        </w:tabs>
        <w:spacing w:before="0" w:after="0"/>
        <w:ind w:hanging="283" w:left="709"/>
        <w:rPr/>
      </w:pPr>
      <w:r>
        <w:rPr>
          <w:rStyle w:val="Strong"/>
        </w:rPr>
        <w:t>East Coast Region</w:t>
      </w:r>
      <w:r>
        <w:rPr/>
        <w:br/>
      </w:r>
    </w:p>
    <w:p>
      <w:pPr>
        <w:pStyle w:val="BodyText"/>
        <w:numPr>
          <w:ilvl w:val="0"/>
          <w:numId w:val="7"/>
        </w:numPr>
        <w:tabs>
          <w:tab w:val="clear" w:pos="720"/>
          <w:tab w:val="left" w:pos="0" w:leader="none"/>
        </w:tabs>
        <w:ind w:hanging="283" w:left="709"/>
        <w:rPr/>
      </w:pPr>
      <w:r>
        <w:rPr>
          <w:rStyle w:val="Strong"/>
        </w:rPr>
        <w:t>West Coast Region</w:t>
      </w:r>
      <w:r>
        <w:rPr/>
        <w:br/>
      </w:r>
    </w:p>
    <w:p>
      <w:pPr>
        <w:pStyle w:val="BodyText"/>
        <w:spacing w:before="0" w:after="120"/>
        <w:rPr/>
      </w:pPr>
      <w:r>
        <w:rPr/>
        <w:t>Currently, workloads are assigned to regions based on convenience and existing practices rather than energy efficiency or carbon impact. Job scheduling is fixed, and there is no system in place to adjust when or where workloads run based on external factors such as energy availability or carbon intensity.</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1</Pages>
  <Words>164</Words>
  <Characters>947</Characters>
  <CharactersWithSpaces>1103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2026-04-06T11:12:54Z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