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283"/>
        <w:rPr/>
      </w:pPr>
      <w:r>
        <w:rPr>
          <w:rStyle w:val="Strong"/>
          <w:b w:val="false"/>
          <w:bCs w:val="false"/>
          <w:sz w:val="32"/>
        </w:rPr>
        <w:t>MERIDIAN TRUST BANK</w:t>
      </w:r>
    </w:p>
    <w:p>
      <w:pPr>
        <w:pStyle w:val="Heading2"/>
        <w:spacing w:before="200" w:after="283"/>
        <w:rPr/>
      </w:pPr>
      <w:r>
        <w:rPr>
          <w:rStyle w:val="Strong"/>
          <w:b w:val="false"/>
          <w:bCs w:val="false"/>
        </w:rPr>
        <w:t>DATA PRIVACY AND DATA HANDLING POLICY</w:t>
      </w:r>
    </w:p>
    <w:p>
      <w:pPr>
        <w:pStyle w:val="BodyText"/>
        <w:rPr/>
      </w:pPr>
      <w:r>
        <w:rPr>
          <w:rStyle w:val="Strong"/>
          <w:b w:val="false"/>
          <w:bCs w:val="false"/>
        </w:rPr>
        <w:t>Policy ID:</w:t>
      </w:r>
      <w:r>
        <w:rPr>
          <w:b w:val="false"/>
          <w:bCs w:val="false"/>
        </w:rPr>
        <w:t xml:space="preserve"> MT-SEC-004</w:t>
        <w:br/>
      </w:r>
      <w:r>
        <w:rPr>
          <w:rStyle w:val="Strong"/>
          <w:b w:val="false"/>
          <w:bCs w:val="false"/>
        </w:rPr>
        <w:t>Effective Date:</w:t>
      </w:r>
      <w:r>
        <w:rPr>
          <w:b w:val="false"/>
          <w:bCs w:val="false"/>
        </w:rPr>
        <w:t xml:space="preserve"> January 1, 20</w:t>
      </w:r>
      <w:r>
        <w:rPr>
          <w:b w:val="false"/>
          <w:bCs w:val="false"/>
        </w:rPr>
        <w:t>20</w:t>
      </w:r>
      <w:r>
        <w:rPr>
          <w:b w:val="false"/>
          <w:bCs w:val="false"/>
        </w:rPr>
        <w:br/>
      </w:r>
      <w:r>
        <w:rPr>
          <w:rStyle w:val="Strong"/>
          <w:b w:val="false"/>
          <w:bCs w:val="false"/>
        </w:rPr>
        <w:t>Classification:</w:t>
      </w:r>
      <w:r>
        <w:rPr>
          <w:b w:val="false"/>
          <w:bCs w:val="false"/>
        </w:rPr>
        <w:t xml:space="preserve"> Internal Use Only</w:t>
      </w:r>
    </w:p>
    <w:p>
      <w:pPr>
        <w:pStyle w:val="HorizontalLine"/>
        <w:rPr>
          <w:b w:val="false"/>
          <w:bCs w:val="false"/>
        </w:rPr>
      </w:pPr>
      <w:r>
        <w:rPr>
          <w:b w:val="false"/>
          <w:bCs w:val="false"/>
        </w:rPr>
      </w:r>
    </w:p>
    <w:p>
      <w:pPr>
        <w:pStyle w:val="Heading2"/>
        <w:spacing w:before="200" w:after="283"/>
        <w:rPr/>
      </w:pPr>
      <w:r>
        <w:rPr>
          <w:rStyle w:val="Strong"/>
          <w:b w:val="false"/>
          <w:bCs w:val="false"/>
        </w:rPr>
        <w:t>1. PURPOSE</w:t>
      </w:r>
    </w:p>
    <w:p>
      <w:pPr>
        <w:pStyle w:val="BodyText"/>
        <w:rPr>
          <w:b w:val="false"/>
          <w:bCs w:val="false"/>
        </w:rPr>
      </w:pPr>
      <w:r>
        <w:rPr>
          <w:b w:val="false"/>
          <w:bCs w:val="false"/>
        </w:rPr>
        <w:t>This policy establishes the requirements governing the storage, processing, and transmission of customer and financial data within Meridian Trust Bank. The objective of this policy is to ensure compliance with applicable financial regulations and to minimize risk associated with unauthorized access, disclosure, or misuse of sensitive financial information.</w:t>
      </w:r>
    </w:p>
    <w:p>
      <w:pPr>
        <w:pStyle w:val="HorizontalLine"/>
        <w:rPr>
          <w:b w:val="false"/>
          <w:bCs w:val="false"/>
        </w:rPr>
      </w:pPr>
      <w:r>
        <w:rPr>
          <w:b w:val="false"/>
          <w:bCs w:val="false"/>
        </w:rPr>
      </w:r>
    </w:p>
    <w:p>
      <w:pPr>
        <w:pStyle w:val="Heading2"/>
        <w:spacing w:before="200" w:after="283"/>
        <w:rPr/>
      </w:pPr>
      <w:r>
        <w:rPr>
          <w:rStyle w:val="Strong"/>
          <w:b w:val="false"/>
          <w:bCs w:val="false"/>
        </w:rPr>
        <w:t>2. SCOPE</w:t>
      </w:r>
    </w:p>
    <w:p>
      <w:pPr>
        <w:pStyle w:val="BodyText"/>
        <w:rPr>
          <w:b w:val="false"/>
          <w:bCs w:val="false"/>
        </w:rPr>
      </w:pPr>
      <w:r>
        <w:rPr>
          <w:b w:val="false"/>
          <w:bCs w:val="false"/>
        </w:rPr>
        <w:t>This policy applies to all employees, contractors, systems, and services that interact with customer or financial data, including core banking platforms, analytics systems, reporting tools, and supporting infrastructure.</w:t>
      </w:r>
    </w:p>
    <w:p>
      <w:pPr>
        <w:pStyle w:val="HorizontalLine"/>
        <w:rPr>
          <w:b w:val="false"/>
          <w:bCs w:val="false"/>
        </w:rPr>
      </w:pPr>
      <w:r>
        <w:rPr>
          <w:b w:val="false"/>
          <w:bCs w:val="false"/>
        </w:rPr>
      </w:r>
    </w:p>
    <w:p>
      <w:pPr>
        <w:pStyle w:val="Heading2"/>
        <w:spacing w:before="200" w:after="283"/>
        <w:rPr/>
      </w:pPr>
      <w:r>
        <w:rPr>
          <w:rStyle w:val="Strong"/>
          <w:b w:val="false"/>
          <w:bCs w:val="false"/>
        </w:rPr>
        <w:t>3. POLICY REQUIREMENTS</w:t>
      </w:r>
    </w:p>
    <w:p>
      <w:pPr>
        <w:pStyle w:val="Heading3"/>
        <w:spacing w:before="200" w:after="283"/>
        <w:rPr/>
      </w:pPr>
      <w:r>
        <w:rPr>
          <w:rStyle w:val="Strong"/>
          <w:b w:val="false"/>
          <w:bCs w:val="false"/>
        </w:rPr>
        <w:t>3.1 Data Residency and Ownership</w:t>
      </w:r>
    </w:p>
    <w:p>
      <w:pPr>
        <w:pStyle w:val="BodyText"/>
        <w:rPr>
          <w:b w:val="false"/>
          <w:bCs w:val="false"/>
        </w:rPr>
      </w:pPr>
      <w:r>
        <w:rPr>
          <w:b w:val="false"/>
          <w:bCs w:val="false"/>
        </w:rPr>
        <w:t>All customer financial data must be stored and processed on infrastructure that is physically owned or directly controlled by Meridian Trust Bank.</w:t>
      </w:r>
    </w:p>
    <w:p>
      <w:pPr>
        <w:pStyle w:val="BodyText"/>
        <w:rPr>
          <w:b w:val="false"/>
          <w:bCs w:val="false"/>
        </w:rPr>
      </w:pPr>
      <w:r>
        <w:rPr>
          <w:b w:val="false"/>
          <w:bCs w:val="false"/>
        </w:rPr>
        <w:t>This includes any system that processes or accesses:</w:t>
      </w:r>
    </w:p>
    <w:p>
      <w:pPr>
        <w:pStyle w:val="BodyText"/>
        <w:numPr>
          <w:ilvl w:val="0"/>
          <w:numId w:val="7"/>
        </w:numPr>
        <w:tabs>
          <w:tab w:val="clear" w:pos="720"/>
          <w:tab w:val="left" w:pos="0" w:leader="none"/>
        </w:tabs>
        <w:spacing w:before="0" w:after="0"/>
        <w:ind w:hanging="283" w:left="709"/>
        <w:rPr/>
      </w:pPr>
      <w:r>
        <w:rPr>
          <w:rStyle w:val="Strong"/>
          <w:b w:val="false"/>
          <w:bCs w:val="false"/>
        </w:rPr>
        <w:t>Transaction records</w:t>
      </w:r>
      <w:r>
        <w:rPr>
          <w:b w:val="false"/>
          <w:bCs w:val="false"/>
        </w:rPr>
        <w:t xml:space="preserve"> </w:t>
      </w:r>
    </w:p>
    <w:p>
      <w:pPr>
        <w:pStyle w:val="BodyText"/>
        <w:numPr>
          <w:ilvl w:val="0"/>
          <w:numId w:val="7"/>
        </w:numPr>
        <w:tabs>
          <w:tab w:val="clear" w:pos="720"/>
          <w:tab w:val="left" w:pos="0" w:leader="none"/>
        </w:tabs>
        <w:spacing w:before="0" w:after="0"/>
        <w:ind w:hanging="283" w:left="709"/>
        <w:rPr/>
      </w:pPr>
      <w:r>
        <w:rPr>
          <w:rStyle w:val="Strong"/>
          <w:b w:val="false"/>
          <w:bCs w:val="false"/>
        </w:rPr>
        <w:t>Account identifiers</w:t>
      </w:r>
      <w:r>
        <w:rPr>
          <w:b w:val="false"/>
          <w:bCs w:val="false"/>
        </w:rPr>
        <w:t xml:space="preserve"> </w:t>
      </w:r>
    </w:p>
    <w:p>
      <w:pPr>
        <w:pStyle w:val="BodyText"/>
        <w:numPr>
          <w:ilvl w:val="0"/>
          <w:numId w:val="7"/>
        </w:numPr>
        <w:tabs>
          <w:tab w:val="clear" w:pos="720"/>
          <w:tab w:val="left" w:pos="0" w:leader="none"/>
        </w:tabs>
        <w:ind w:hanging="283" w:left="709"/>
        <w:rPr/>
      </w:pPr>
      <w:r>
        <w:rPr>
          <w:b w:val="false"/>
          <w:bCs w:val="false"/>
        </w:rPr>
        <w:t xml:space="preserve">Any system that directly interacts with </w:t>
      </w:r>
      <w:r>
        <w:rPr>
          <w:rStyle w:val="Strong"/>
          <w:b w:val="false"/>
          <w:bCs w:val="false"/>
        </w:rPr>
        <w:t>core banking operations</w:t>
      </w:r>
      <w:r>
        <w:rPr>
          <w:b w:val="false"/>
          <w:bCs w:val="false"/>
        </w:rPr>
        <w:t xml:space="preserve"> </w:t>
      </w:r>
    </w:p>
    <w:p>
      <w:pPr>
        <w:pStyle w:val="BodyText"/>
        <w:rPr>
          <w:b w:val="false"/>
          <w:bCs w:val="false"/>
        </w:rPr>
      </w:pPr>
      <w:r>
        <w:rPr>
          <w:b w:val="false"/>
          <w:bCs w:val="false"/>
        </w:rPr>
        <w:t>Under no circumstances may these systems be executed in third-party cloud environments.</w:t>
      </w:r>
    </w:p>
    <w:p>
      <w:pPr>
        <w:pStyle w:val="HorizontalLine"/>
        <w:rPr>
          <w:b w:val="false"/>
          <w:bCs w:val="false"/>
        </w:rPr>
      </w:pPr>
      <w:r>
        <w:rPr>
          <w:b w:val="false"/>
          <w:bCs w:val="false"/>
        </w:rPr>
      </w:r>
    </w:p>
    <w:p>
      <w:pPr>
        <w:pStyle w:val="Heading3"/>
        <w:spacing w:before="200" w:after="283"/>
        <w:rPr/>
      </w:pPr>
      <w:r>
        <w:rPr>
          <w:rStyle w:val="Strong"/>
          <w:b w:val="false"/>
          <w:bCs w:val="false"/>
        </w:rPr>
        <w:t>3.2 Definition of Restricted Data</w:t>
      </w:r>
    </w:p>
    <w:p>
      <w:pPr>
        <w:pStyle w:val="BodyText"/>
        <w:rPr/>
      </w:pPr>
      <w:r>
        <w:rPr>
          <w:b w:val="false"/>
          <w:bCs w:val="false"/>
        </w:rPr>
        <w:t xml:space="preserve">For the purposes of this policy, </w:t>
      </w:r>
      <w:r>
        <w:rPr>
          <w:rStyle w:val="Strong"/>
          <w:b w:val="false"/>
          <w:bCs w:val="false"/>
        </w:rPr>
        <w:t>restricted data</w:t>
      </w:r>
      <w:r>
        <w:rPr>
          <w:b w:val="false"/>
          <w:bCs w:val="false"/>
        </w:rPr>
        <w:t xml:space="preserve"> includes any data that can be linked to an individual customer or account.</w:t>
      </w:r>
    </w:p>
    <w:p>
      <w:pPr>
        <w:pStyle w:val="BodyText"/>
        <w:rPr>
          <w:b w:val="false"/>
          <w:bCs w:val="false"/>
        </w:rPr>
      </w:pPr>
      <w:r>
        <w:rPr>
          <w:b w:val="false"/>
          <w:bCs w:val="false"/>
        </w:rPr>
        <w:t>Systems are considered in-scope for restriction if they:</w:t>
      </w:r>
    </w:p>
    <w:p>
      <w:pPr>
        <w:pStyle w:val="BodyText"/>
        <w:numPr>
          <w:ilvl w:val="0"/>
          <w:numId w:val="8"/>
        </w:numPr>
        <w:tabs>
          <w:tab w:val="clear" w:pos="720"/>
          <w:tab w:val="left" w:pos="0" w:leader="none"/>
        </w:tabs>
        <w:spacing w:before="0" w:after="0"/>
        <w:ind w:hanging="283" w:left="709"/>
        <w:rPr/>
      </w:pPr>
      <w:r>
        <w:rPr>
          <w:b w:val="false"/>
          <w:bCs w:val="false"/>
        </w:rPr>
        <w:t xml:space="preserve">Access or process </w:t>
      </w:r>
      <w:r>
        <w:rPr>
          <w:rStyle w:val="Strong"/>
          <w:b w:val="false"/>
          <w:bCs w:val="false"/>
        </w:rPr>
        <w:t>transaction records</w:t>
      </w:r>
      <w:r>
        <w:rPr>
          <w:b w:val="false"/>
          <w:bCs w:val="false"/>
        </w:rPr>
        <w:t xml:space="preserve"> </w:t>
      </w:r>
    </w:p>
    <w:p>
      <w:pPr>
        <w:pStyle w:val="BodyText"/>
        <w:numPr>
          <w:ilvl w:val="0"/>
          <w:numId w:val="8"/>
        </w:numPr>
        <w:tabs>
          <w:tab w:val="clear" w:pos="720"/>
          <w:tab w:val="left" w:pos="0" w:leader="none"/>
        </w:tabs>
        <w:spacing w:before="0" w:after="0"/>
        <w:ind w:hanging="283" w:left="709"/>
        <w:rPr/>
      </w:pPr>
      <w:r>
        <w:rPr>
          <w:b w:val="false"/>
          <w:bCs w:val="false"/>
        </w:rPr>
        <w:t xml:space="preserve">Use or depend on </w:t>
      </w:r>
      <w:r>
        <w:rPr>
          <w:rStyle w:val="Strong"/>
          <w:b w:val="false"/>
          <w:bCs w:val="false"/>
        </w:rPr>
        <w:t>account identifiers</w:t>
      </w:r>
      <w:r>
        <w:rPr>
          <w:b w:val="false"/>
          <w:bCs w:val="false"/>
        </w:rPr>
        <w:t xml:space="preserve"> </w:t>
      </w:r>
    </w:p>
    <w:p>
      <w:pPr>
        <w:pStyle w:val="BodyText"/>
        <w:numPr>
          <w:ilvl w:val="0"/>
          <w:numId w:val="8"/>
        </w:numPr>
        <w:tabs>
          <w:tab w:val="clear" w:pos="720"/>
          <w:tab w:val="left" w:pos="0" w:leader="none"/>
        </w:tabs>
        <w:spacing w:before="0" w:after="0"/>
        <w:ind w:hanging="283" w:left="709"/>
        <w:rPr/>
      </w:pPr>
      <w:r>
        <w:rPr>
          <w:b w:val="false"/>
          <w:bCs w:val="false"/>
        </w:rPr>
        <w:t xml:space="preserve">Support or interact with </w:t>
      </w:r>
      <w:r>
        <w:rPr>
          <w:rStyle w:val="Strong"/>
          <w:b w:val="false"/>
          <w:bCs w:val="false"/>
        </w:rPr>
        <w:t>core banking operations</w:t>
      </w:r>
      <w:r>
        <w:rPr>
          <w:b w:val="false"/>
          <w:bCs w:val="false"/>
        </w:rPr>
        <w:t xml:space="preserve"> </w:t>
      </w:r>
    </w:p>
    <w:p>
      <w:pPr>
        <w:pStyle w:val="BodyText"/>
        <w:numPr>
          <w:ilvl w:val="0"/>
          <w:numId w:val="8"/>
        </w:numPr>
        <w:tabs>
          <w:tab w:val="clear" w:pos="720"/>
          <w:tab w:val="left" w:pos="0" w:leader="none"/>
        </w:tabs>
        <w:ind w:hanging="283" w:left="709"/>
        <w:rPr>
          <w:b w:val="false"/>
          <w:bCs w:val="false"/>
        </w:rPr>
      </w:pPr>
      <w:r>
        <w:rPr>
          <w:b w:val="false"/>
          <w:bCs w:val="false"/>
        </w:rPr>
        <w:t xml:space="preserve">Operate on data that can be traced back to an individual customer </w:t>
      </w:r>
    </w:p>
    <w:p>
      <w:pPr>
        <w:pStyle w:val="BodyText"/>
        <w:rPr>
          <w:b w:val="false"/>
          <w:bCs w:val="false"/>
        </w:rPr>
      </w:pPr>
      <w:r>
        <w:rPr>
          <w:b w:val="false"/>
          <w:bCs w:val="false"/>
        </w:rPr>
        <w:t>All such systems must remain on bank-controlled infrastructure.</w:t>
      </w:r>
    </w:p>
    <w:p>
      <w:pPr>
        <w:pStyle w:val="HorizontalLine"/>
        <w:rPr>
          <w:b w:val="false"/>
          <w:bCs w:val="false"/>
        </w:rPr>
      </w:pPr>
      <w:r>
        <w:rPr>
          <w:b w:val="false"/>
          <w:bCs w:val="false"/>
        </w:rPr>
      </w:r>
    </w:p>
    <w:p>
      <w:pPr>
        <w:pStyle w:val="Heading3"/>
        <w:spacing w:before="200" w:after="283"/>
        <w:rPr/>
      </w:pPr>
      <w:r>
        <w:rPr>
          <w:rStyle w:val="Strong"/>
          <w:b w:val="false"/>
          <w:bCs w:val="false"/>
        </w:rPr>
        <w:t>3.3 Permitted External Processing</w:t>
      </w:r>
    </w:p>
    <w:p>
      <w:pPr>
        <w:pStyle w:val="BodyText"/>
        <w:rPr/>
      </w:pPr>
      <w:r>
        <w:rPr>
          <w:b w:val="false"/>
          <w:bCs w:val="false"/>
        </w:rPr>
        <w:t xml:space="preserve">External (cloud) processing is permitted </w:t>
      </w:r>
      <w:r>
        <w:rPr>
          <w:rStyle w:val="Strong"/>
          <w:b w:val="false"/>
          <w:bCs w:val="false"/>
        </w:rPr>
        <w:t>only</w:t>
      </w:r>
      <w:r>
        <w:rPr>
          <w:b w:val="false"/>
          <w:bCs w:val="false"/>
        </w:rPr>
        <w:t xml:space="preserve"> for systems that operate exclusively on </w:t>
      </w:r>
      <w:r>
        <w:rPr>
          <w:rStyle w:val="Strong"/>
          <w:b w:val="false"/>
          <w:bCs w:val="false"/>
        </w:rPr>
        <w:t>pre-aggregated, non-customer-level data</w:t>
      </w:r>
      <w:r>
        <w:rPr>
          <w:b w:val="false"/>
          <w:bCs w:val="false"/>
        </w:rPr>
        <w:t>.</w:t>
      </w:r>
    </w:p>
    <w:p>
      <w:pPr>
        <w:pStyle w:val="BodyText"/>
        <w:rPr>
          <w:b w:val="false"/>
          <w:bCs w:val="false"/>
        </w:rPr>
      </w:pPr>
      <w:r>
        <w:rPr>
          <w:b w:val="false"/>
          <w:bCs w:val="false"/>
        </w:rPr>
        <w:t>Permitted data includes:</w:t>
      </w:r>
    </w:p>
    <w:p>
      <w:pPr>
        <w:pStyle w:val="BodyText"/>
        <w:numPr>
          <w:ilvl w:val="0"/>
          <w:numId w:val="9"/>
        </w:numPr>
        <w:tabs>
          <w:tab w:val="clear" w:pos="720"/>
          <w:tab w:val="left" w:pos="0" w:leader="none"/>
        </w:tabs>
        <w:spacing w:before="0" w:after="0"/>
        <w:ind w:hanging="283" w:left="709"/>
        <w:rPr>
          <w:b w:val="false"/>
          <w:bCs w:val="false"/>
        </w:rPr>
      </w:pPr>
      <w:r>
        <w:rPr>
          <w:b w:val="false"/>
          <w:bCs w:val="false"/>
        </w:rPr>
        <w:t xml:space="preserve">Summary metrics (e.g., total transactions per branch) </w:t>
      </w:r>
    </w:p>
    <w:p>
      <w:pPr>
        <w:pStyle w:val="BodyText"/>
        <w:numPr>
          <w:ilvl w:val="0"/>
          <w:numId w:val="9"/>
        </w:numPr>
        <w:tabs>
          <w:tab w:val="clear" w:pos="720"/>
          <w:tab w:val="left" w:pos="0" w:leader="none"/>
        </w:tabs>
        <w:spacing w:before="0" w:after="0"/>
        <w:ind w:hanging="283" w:left="709"/>
        <w:rPr>
          <w:b w:val="false"/>
          <w:bCs w:val="false"/>
        </w:rPr>
      </w:pPr>
      <w:r>
        <w:rPr>
          <w:b w:val="false"/>
          <w:bCs w:val="false"/>
        </w:rPr>
        <w:t xml:space="preserve">Aggregated counts, averages, or trends </w:t>
      </w:r>
    </w:p>
    <w:p>
      <w:pPr>
        <w:pStyle w:val="BodyText"/>
        <w:numPr>
          <w:ilvl w:val="0"/>
          <w:numId w:val="9"/>
        </w:numPr>
        <w:tabs>
          <w:tab w:val="clear" w:pos="720"/>
          <w:tab w:val="left" w:pos="0" w:leader="none"/>
        </w:tabs>
        <w:spacing w:before="0" w:after="0"/>
        <w:ind w:hanging="283" w:left="709"/>
        <w:rPr/>
      </w:pPr>
      <w:r>
        <w:rPr>
          <w:b w:val="false"/>
          <w:bCs w:val="false"/>
        </w:rPr>
        <w:t xml:space="preserve">Data that contains </w:t>
      </w:r>
      <w:r>
        <w:rPr>
          <w:rStyle w:val="Strong"/>
          <w:b w:val="false"/>
          <w:bCs w:val="false"/>
        </w:rPr>
        <w:t>no transaction records or account identifiers</w:t>
      </w:r>
      <w:r>
        <w:rPr>
          <w:b w:val="false"/>
          <w:bCs w:val="false"/>
        </w:rPr>
        <w:t xml:space="preserve"> </w:t>
      </w:r>
    </w:p>
    <w:p>
      <w:pPr>
        <w:pStyle w:val="BodyText"/>
        <w:numPr>
          <w:ilvl w:val="0"/>
          <w:numId w:val="9"/>
        </w:numPr>
        <w:tabs>
          <w:tab w:val="clear" w:pos="720"/>
          <w:tab w:val="left" w:pos="0" w:leader="none"/>
        </w:tabs>
        <w:ind w:hanging="283" w:left="709"/>
        <w:rPr>
          <w:b w:val="false"/>
          <w:bCs w:val="false"/>
        </w:rPr>
      </w:pPr>
      <w:r>
        <w:rPr>
          <w:b w:val="false"/>
          <w:bCs w:val="false"/>
        </w:rPr>
        <w:t xml:space="preserve">Data that cannot be traced back to an individual customer under any circumstance </w:t>
      </w:r>
    </w:p>
    <w:p>
      <w:pPr>
        <w:pStyle w:val="HorizontalLine"/>
        <w:rPr>
          <w:b w:val="false"/>
          <w:bCs w:val="false"/>
        </w:rPr>
      </w:pPr>
      <w:r>
        <w:rPr>
          <w:b w:val="false"/>
          <w:bCs w:val="false"/>
        </w:rPr>
      </w:r>
    </w:p>
    <w:p>
      <w:pPr>
        <w:pStyle w:val="Heading3"/>
        <w:spacing w:before="200" w:after="283"/>
        <w:rPr/>
      </w:pPr>
      <w:r>
        <w:rPr>
          <w:rStyle w:val="Strong"/>
          <w:b w:val="false"/>
          <w:bCs w:val="false"/>
        </w:rPr>
        <w:t>3.4 Prohibited Transformations</w:t>
      </w:r>
    </w:p>
    <w:p>
      <w:pPr>
        <w:pStyle w:val="BodyText"/>
        <w:rPr>
          <w:b w:val="false"/>
          <w:bCs w:val="false"/>
        </w:rPr>
      </w:pPr>
      <w:r>
        <w:rPr>
          <w:b w:val="false"/>
          <w:bCs w:val="false"/>
        </w:rPr>
        <w:t>Systems may not be modified, transformed, or re-engineered for the purpose of bypassing this policy.</w:t>
      </w:r>
    </w:p>
    <w:p>
      <w:pPr>
        <w:pStyle w:val="BodyText"/>
        <w:rPr>
          <w:b w:val="false"/>
          <w:bCs w:val="false"/>
        </w:rPr>
      </w:pPr>
      <w:r>
        <w:rPr>
          <w:b w:val="false"/>
          <w:bCs w:val="false"/>
        </w:rPr>
        <w:t>This includes:</w:t>
      </w:r>
    </w:p>
    <w:p>
      <w:pPr>
        <w:pStyle w:val="BodyText"/>
        <w:numPr>
          <w:ilvl w:val="0"/>
          <w:numId w:val="10"/>
        </w:numPr>
        <w:tabs>
          <w:tab w:val="clear" w:pos="720"/>
          <w:tab w:val="left" w:pos="0" w:leader="none"/>
        </w:tabs>
        <w:spacing w:before="0" w:after="0"/>
        <w:ind w:hanging="283" w:left="709"/>
        <w:rPr>
          <w:b w:val="false"/>
          <w:bCs w:val="false"/>
        </w:rPr>
      </w:pPr>
      <w:r>
        <w:rPr>
          <w:b w:val="false"/>
          <w:bCs w:val="false"/>
        </w:rPr>
        <w:t xml:space="preserve">Removing identifiers solely to enable external processing </w:t>
      </w:r>
    </w:p>
    <w:p>
      <w:pPr>
        <w:pStyle w:val="BodyText"/>
        <w:numPr>
          <w:ilvl w:val="0"/>
          <w:numId w:val="10"/>
        </w:numPr>
        <w:tabs>
          <w:tab w:val="clear" w:pos="720"/>
          <w:tab w:val="left" w:pos="0" w:leader="none"/>
        </w:tabs>
        <w:spacing w:before="0" w:after="0"/>
        <w:ind w:hanging="283" w:left="709"/>
        <w:rPr>
          <w:b w:val="false"/>
          <w:bCs w:val="false"/>
        </w:rPr>
      </w:pPr>
      <w:r>
        <w:rPr>
          <w:b w:val="false"/>
          <w:bCs w:val="false"/>
        </w:rPr>
        <w:t xml:space="preserve">Introducing intermediate steps that temporarily expose restricted data outside controlled infrastructure </w:t>
      </w:r>
    </w:p>
    <w:p>
      <w:pPr>
        <w:pStyle w:val="BodyText"/>
        <w:numPr>
          <w:ilvl w:val="0"/>
          <w:numId w:val="10"/>
        </w:numPr>
        <w:tabs>
          <w:tab w:val="clear" w:pos="720"/>
          <w:tab w:val="left" w:pos="0" w:leader="none"/>
        </w:tabs>
        <w:ind w:hanging="283" w:left="709"/>
        <w:rPr>
          <w:b w:val="false"/>
          <w:bCs w:val="false"/>
        </w:rPr>
      </w:pPr>
      <w:r>
        <w:rPr>
          <w:b w:val="false"/>
          <w:bCs w:val="false"/>
        </w:rPr>
        <w:t xml:space="preserve">Redesigning workflows to relocate restricted data processing </w:t>
      </w:r>
    </w:p>
    <w:p>
      <w:pPr>
        <w:pStyle w:val="BodyText"/>
        <w:rPr>
          <w:b w:val="false"/>
          <w:bCs w:val="false"/>
        </w:rPr>
      </w:pPr>
      <w:r>
        <w:rPr>
          <w:b w:val="false"/>
          <w:bCs w:val="false"/>
        </w:rPr>
        <w:t>All evaluations must be based on the system’s existing data dependencies and behavior.</w:t>
      </w:r>
    </w:p>
    <w:p>
      <w:pPr>
        <w:pStyle w:val="HorizontalLine"/>
        <w:rPr>
          <w:b w:val="false"/>
          <w:bCs w:val="false"/>
        </w:rPr>
      </w:pPr>
      <w:r>
        <w:rPr>
          <w:b w:val="false"/>
          <w:bCs w:val="false"/>
        </w:rPr>
      </w:r>
    </w:p>
    <w:p>
      <w:pPr>
        <w:pStyle w:val="Heading3"/>
        <w:spacing w:before="200" w:after="283"/>
        <w:rPr/>
      </w:pPr>
      <w:r>
        <w:rPr>
          <w:rStyle w:val="Strong"/>
          <w:b w:val="false"/>
          <w:bCs w:val="false"/>
        </w:rPr>
        <w:t>3.5 Change Management</w:t>
      </w:r>
    </w:p>
    <w:p>
      <w:pPr>
        <w:pStyle w:val="BodyText"/>
        <w:rPr>
          <w:b w:val="false"/>
          <w:bCs w:val="false"/>
        </w:rPr>
      </w:pPr>
      <w:r>
        <w:rPr>
          <w:b w:val="false"/>
          <w:bCs w:val="false"/>
        </w:rPr>
        <w:t>All system changes that impact the handling, storage, or transmission of customer data must undergo formal review through the bank’s change management process. This includes architectural changes, vendor integrations, and modifications to data workflows.</w:t>
      </w:r>
    </w:p>
    <w:p>
      <w:pPr>
        <w:pStyle w:val="HorizontalLine"/>
        <w:rPr>
          <w:b w:val="false"/>
          <w:bCs w:val="false"/>
        </w:rPr>
      </w:pPr>
      <w:r>
        <w:rPr>
          <w:b w:val="false"/>
          <w:bCs w:val="false"/>
        </w:rPr>
      </w:r>
    </w:p>
    <w:p>
      <w:pPr>
        <w:pStyle w:val="Heading2"/>
        <w:spacing w:before="200" w:after="283"/>
        <w:rPr/>
      </w:pPr>
      <w:r>
        <w:rPr>
          <w:rStyle w:val="Strong"/>
          <w:b w:val="false"/>
          <w:bCs w:val="false"/>
        </w:rPr>
        <w:t>4. COMPLIANCE AND ENFORCEMENT</w:t>
      </w:r>
    </w:p>
    <w:p>
      <w:pPr>
        <w:pStyle w:val="BodyText"/>
        <w:rPr>
          <w:b w:val="false"/>
          <w:bCs w:val="false"/>
        </w:rPr>
      </w:pPr>
      <w:r>
        <w:rPr>
          <w:b w:val="false"/>
          <w:bCs w:val="false"/>
        </w:rPr>
        <w:t>Failure to comply with this policy may result in disciplinary action, up to and including termination of employment, as well as potential legal and regulatory consequences.</w:t>
      </w:r>
    </w:p>
    <w:p>
      <w:pPr>
        <w:pStyle w:val="HorizontalLine"/>
        <w:rPr>
          <w:b w:val="false"/>
          <w:bCs w:val="false"/>
        </w:rPr>
      </w:pPr>
      <w:r>
        <w:rPr>
          <w:b w:val="false"/>
          <w:bCs w:val="false"/>
        </w:rPr>
      </w:r>
    </w:p>
    <w:p>
      <w:pPr>
        <w:pStyle w:val="Heading2"/>
        <w:spacing w:before="200" w:after="283"/>
        <w:rPr/>
      </w:pPr>
      <w:r>
        <w:rPr>
          <w:rStyle w:val="Strong"/>
          <w:b w:val="false"/>
          <w:bCs w:val="false"/>
        </w:rPr>
        <w:t>5. INTERPRETATION</w:t>
      </w:r>
    </w:p>
    <w:p>
      <w:pPr>
        <w:pStyle w:val="BodyText"/>
        <w:rPr>
          <w:b w:val="false"/>
          <w:bCs w:val="false"/>
        </w:rPr>
      </w:pPr>
      <w:r>
        <w:rPr>
          <w:b w:val="false"/>
          <w:bCs w:val="false"/>
        </w:rPr>
        <w:t>This policy reflects a conservative approach to regulatory compliance and risk management. In all cases, interpretations must err on the side of restricting data movement and external processing unless explicitly permitted.</w:t>
      </w:r>
    </w:p>
    <w:p>
      <w:pPr>
        <w:pStyle w:val="HorizontalLine"/>
        <w:rPr>
          <w:b w:val="false"/>
          <w:bCs w:val="false"/>
        </w:rPr>
      </w:pPr>
      <w:r>
        <w:rPr>
          <w:b w:val="false"/>
          <w:bCs w:val="false"/>
        </w:rPr>
      </w:r>
    </w:p>
    <w:p>
      <w:pPr>
        <w:pStyle w:val="Heading2"/>
        <w:spacing w:before="200" w:after="283"/>
        <w:rPr/>
      </w:pPr>
      <w:r>
        <w:rPr>
          <w:rStyle w:val="Strong"/>
          <w:b w:val="false"/>
          <w:bCs w:val="false"/>
        </w:rPr>
        <w:t>6. NOTES</w:t>
      </w:r>
    </w:p>
    <w:p>
      <w:pPr>
        <w:pStyle w:val="BodyText"/>
        <w:rPr>
          <w:b w:val="false"/>
          <w:bCs w:val="false"/>
        </w:rPr>
      </w:pPr>
      <w:r>
        <w:rPr>
          <w:b w:val="false"/>
          <w:bCs w:val="false"/>
        </w:rPr>
        <w:t>This policy is intended to prioritize data security and regulatory compliance over system flexibility. As a result, certain modern computing approaches may be limited. Any proposed exceptions must be formally reviewed and approved.</w:t>
      </w:r>
    </w:p>
    <w:p>
      <w:pPr>
        <w:pStyle w:val="Normal"/>
        <w:spacing w:before="0" w:after="200"/>
        <w:rPr>
          <w:sz w:val="32"/>
        </w:rPr>
      </w:pPr>
      <w:r>
        <w:rPr>
          <w:b w:val="false"/>
          <w:bCs w:val="false"/>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LibreOffice/24.2.7.2$Linux_X86_64 LibreOffice_project/420$Build-2</Application>
  <AppVersion>15.0000</AppVersion>
  <Pages>3</Pages>
  <Words>499</Words>
  <Characters>3038</Characters>
  <CharactersWithSpaces>3492</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2026-04-06T11:01:14Z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