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黑体"/>
          <w:color w:val="000000"/>
        </w:rPr>
        <w:t>问题四　波动电价下的微网购电策略：电价点预测模型与两情境优化重算</w:t>
      </w:r>
    </w:p>
    <w:p>
      <w:pPr>
        <w:spacing w:after="80"/>
      </w:pPr>
      <w:r>
        <w:rPr>
          <w:rFonts w:ascii="Times New Roman" w:hAnsi="Times New Roman" w:eastAsia="宋体"/>
          <w:b w:val="0"/>
          <w:i/>
          <w:color w:val="5A5A5A"/>
          <w:sz w:val="20"/>
        </w:rPr>
        <w:t>本文为可直接并入总论文的"问题四"完整章节。全部数值由 `p4/` 下脚本复现：电价预测 `priceforecast.py`、过拟合检验 `overfitcheck.py / overfitD.py`、重算问题2 `p42solve.py`、重算问题3 `p43solve.py`。评估区间 2025-02-01—12-31 共 334 天，1 月为冷启动训练集；所有预测严格"日前/会话时点非预期"，即预测某一天只允许使用该时点之前已发生的数据。</w:t>
      </w:r>
    </w:p>
    <w:p>
      <w:pPr>
        <w:pStyle w:val="Heading2"/>
      </w:pPr>
      <w:r>
        <w:rPr>
          <w:rFonts w:ascii="Times New Roman" w:hAnsi="Times New Roman" w:eastAsia="黑体"/>
          <w:color w:val="000000"/>
        </w:rPr>
        <w:t>摘要</w:t>
      </w:r>
    </w:p>
    <w:p>
      <w:r>
        <w:rPr>
          <w:rFonts w:ascii="Times New Roman" w:hAnsi="Times New Roman" w:eastAsia="宋体"/>
          <w:b w:val="0"/>
          <w:i w:val="0"/>
          <w:sz w:val="22"/>
        </w:rPr>
        <w:t>针对附件 4 的波动电价（2025 年全年 365 天、每天 144 个 10 min 时段，价格 0.0076—1.794 元/kWh），本文先通过统计审计提炼出"周相似远强于日连续、日内鸭子曲线稳定但存在约 9% 形变、星期类型二元、月初存在水平跳变、残差无尖峰"五条规律，据此</w:t>
      </w:r>
      <w:r>
        <w:rPr>
          <w:rFonts w:ascii="Times New Roman" w:hAnsi="Times New Roman" w:eastAsia="宋体"/>
          <w:b/>
          <w:i w:val="0"/>
          <w:sz w:val="22"/>
        </w:rPr>
        <w:t>定制了一个四成员异构预测池并以指数梯度下降（EGD）在线集成</w:t>
      </w:r>
      <w:r>
        <w:rPr>
          <w:rFonts w:ascii="Times New Roman" w:hAnsi="Times New Roman" w:eastAsia="宋体"/>
          <w:b w:val="0"/>
          <w:i w:val="0"/>
          <w:sz w:val="22"/>
        </w:rPr>
        <w:t>：周同类型日加权（M1）、时变形状×水平（M2）、电价专属 LightGBM（M3）、相似日 kNN（M4）。问题二与问题三是否需要两套预测模型，是在专门实现并对比了一个独立日内"前缀相似日补全"模型之后才回答的：该独立方案剩余段误差（85—145×10⁻³）显著大于同一模型滚动更新（39—44×10⁻³），故最终让两情境</w:t>
      </w:r>
      <w:r>
        <w:rPr>
          <w:rFonts w:ascii="Times New Roman" w:hAnsi="Times New Roman" w:eastAsia="宋体"/>
          <w:b/>
          <w:i w:val="0"/>
          <w:sz w:val="22"/>
        </w:rPr>
        <w:t>共用同一套模型、仅更新频率不同</w:t>
      </w:r>
      <w:r>
        <w:rPr>
          <w:rFonts w:ascii="Times New Roman" w:hAnsi="Times New Roman" w:eastAsia="宋体"/>
          <w:b w:val="0"/>
          <w:i w:val="0"/>
          <w:sz w:val="22"/>
        </w:rPr>
        <w:t>——问题二每天 0:00 更新一次、一次给出全天 144 段；问题三每天 0/6/12/18 点滚动更新四次，每次并入当日已实现段刷新剩余时段。在 334 天严格滚动评估中，集成预测 MAE 为 42.01×10⁻³ 元/kWh，相对最强朴素基线（上周同日曲线，47.15×10⁻³）下降 10.9%，Wilcoxon 符号秩检验 p=4.5×10⁻³⁴、日胜率 87.1%；训练—样本外误差差、学习曲线、复杂度敏感性、学习率前后半段与分月稳定性五项过拟合/稳健性检验一致表明结论不依赖精细调参。将预测电价分别接入问题二的确定性线性规划与问题三的四阶段随机规划（计划层用预测价、结算层用真实价），全年净成本分别为 1722.2 万元、1546.5 万元，较朴素基线电价方案省 3.79 万元；对照实验进一步量化了电价预测与负载/光伏预测各自的误差代价。</w:t>
      </w:r>
    </w:p>
    <w:p>
      <w:r>
        <w:rPr>
          <w:rFonts w:ascii="Times New Roman" w:hAnsi="Times New Roman" w:eastAsia="宋体"/>
          <w:b/>
          <w:i w:val="0"/>
          <w:sz w:val="22"/>
        </w:rPr>
        <w:t>关键词</w:t>
      </w:r>
      <w:r>
        <w:rPr>
          <w:rFonts w:ascii="Times New Roman" w:hAnsi="Times New Roman" w:eastAsia="宋体"/>
          <w:b w:val="0"/>
          <w:i w:val="0"/>
          <w:sz w:val="22"/>
        </w:rPr>
        <w:t>：日前电价预测；相似日；LightGBM；在线集成（EGD）；滚动更新；微网经济调度；线性规划；随机规划</w:t>
      </w:r>
    </w:p>
    <w:p>
      <w:r>
        <w:rPr>
          <w:rFonts w:ascii="Times New Roman" w:hAnsi="Times New Roman" w:eastAsia="宋体"/>
          <w:b w:val="0"/>
          <w:i w:val="0"/>
          <w:sz w:val="22"/>
        </w:rPr>
        <w:t>---</w:t>
      </w:r>
    </w:p>
    <w:p>
      <w:pPr>
        <w:pStyle w:val="Heading2"/>
      </w:pPr>
      <w:r>
        <w:rPr>
          <w:rFonts w:ascii="Times New Roman" w:hAnsi="Times New Roman" w:eastAsia="黑体"/>
          <w:color w:val="000000"/>
        </w:rPr>
        <w:t>1 问题重述与总体求解思路</w:t>
      </w:r>
    </w:p>
    <w:p>
      <w:pPr>
        <w:pStyle w:val="Heading3"/>
      </w:pPr>
      <w:r>
        <w:rPr>
          <w:rFonts w:ascii="Times New Roman" w:hAnsi="Times New Roman" w:eastAsia="黑体"/>
          <w:color w:val="000000"/>
        </w:rPr>
        <w:t>1.1 问题重述</w:t>
      </w:r>
    </w:p>
    <w:p>
      <w:r>
        <w:rPr>
          <w:rFonts w:ascii="Times New Roman" w:hAnsi="Times New Roman" w:eastAsia="宋体"/>
          <w:b w:val="0"/>
          <w:i w:val="0"/>
          <w:sz w:val="22"/>
        </w:rPr>
        <w:t>问题四要求在附件 4 的波动电价下重新求解问题二、问题三：</w:t>
      </w:r>
    </w:p>
    <w:p>
      <w:pPr>
        <w:pStyle w:val="ListBullet"/>
      </w:pPr>
      <w:r>
        <w:rPr>
          <w:rFonts w:ascii="Times New Roman" w:hAnsi="Times New Roman" w:eastAsia="宋体"/>
          <w:b/>
          <w:i w:val="0"/>
          <w:sz w:val="22"/>
        </w:rPr>
        <w:t>问题二情境（每 24 h 决策一次）</w:t>
      </w:r>
      <w:r>
        <w:rPr>
          <w:rFonts w:ascii="Times New Roman" w:hAnsi="Times New Roman" w:eastAsia="宋体"/>
          <w:b w:val="0"/>
          <w:i w:val="0"/>
          <w:sz w:val="22"/>
        </w:rPr>
        <w:t>：每天 0:00 依据对当天负载、光伏、电价的预测制定全天 144 段计划购电，日内锁定；微网供电不得低于实际负载，不足部分按交易时刻电价的 5 倍紧急购电，其余购电按计划量与交易时刻电价结算。</w:t>
      </w:r>
    </w:p>
    <w:p>
      <w:pPr>
        <w:pStyle w:val="ListBullet"/>
      </w:pPr>
      <w:r>
        <w:rPr>
          <w:rFonts w:ascii="Times New Roman" w:hAnsi="Times New Roman" w:eastAsia="宋体"/>
          <w:b/>
          <w:i w:val="0"/>
          <w:sz w:val="22"/>
        </w:rPr>
        <w:t>问题三情境（每 6 h 决策一次）</w:t>
      </w:r>
      <w:r>
        <w:rPr>
          <w:rFonts w:ascii="Times New Roman" w:hAnsi="Times New Roman" w:eastAsia="宋体"/>
          <w:b w:val="0"/>
          <w:i w:val="0"/>
          <w:sz w:val="22"/>
        </w:rPr>
        <w:t>：每天 0:00、6:00、12:00、18:00 四次获得未来 24 h 整点光伏预报，可在 0:00 制定计划、其余时点调整后续购电；调整量相对计划"少买罚 0.5 倍、多买罚 1.5 倍"电价，缺口仍按 5 倍紧急购电。</w:t>
      </w:r>
    </w:p>
    <w:p>
      <w:r>
        <w:rPr>
          <w:rFonts w:ascii="Times New Roman" w:hAnsi="Times New Roman" w:eastAsia="宋体"/>
          <w:b w:val="0"/>
          <w:i w:val="0"/>
          <w:sz w:val="22"/>
        </w:rPr>
        <w:t>两者对电价预测的</w:t>
      </w:r>
      <w:r>
        <w:rPr>
          <w:rFonts w:ascii="Times New Roman" w:hAnsi="Times New Roman" w:eastAsia="宋体"/>
          <w:b/>
          <w:i w:val="0"/>
          <w:sz w:val="22"/>
        </w:rPr>
        <w:t>唯一差别是更新频率</w:t>
      </w:r>
      <w:r>
        <w:rPr>
          <w:rFonts w:ascii="Times New Roman" w:hAnsi="Times New Roman" w:eastAsia="宋体"/>
          <w:b w:val="0"/>
          <w:i w:val="0"/>
          <w:sz w:val="22"/>
        </w:rPr>
        <w:t>：问题二 24 h 更新一次，问题三 6 h 滚动更新一次。负载/光伏预测及其随机规划情景树沿用第二、三问已有成果，本问只新增电价预测并将其接入两套优化器。</w:t>
      </w:r>
    </w:p>
    <w:p>
      <w:pPr>
        <w:pStyle w:val="Heading3"/>
      </w:pPr>
      <w:r>
        <w:rPr>
          <w:rFonts w:ascii="Times New Roman" w:hAnsi="Times New Roman" w:eastAsia="黑体"/>
          <w:color w:val="000000"/>
        </w:rPr>
        <w:t>1.2 总体技术路线</w:t>
      </w:r>
    </w:p>
    <w:p>
      <w:r>
        <w:rPr>
          <w:rFonts w:ascii="Times New Roman" w:hAnsi="Times New Roman" w:eastAsia="宋体"/>
          <w:b w:val="0"/>
          <w:i w:val="0"/>
          <w:sz w:val="22"/>
        </w:rPr>
        <w:t>如图（见 `out/问题4技术路线流程图.png`），全流程分三层：</w:t>
      </w:r>
    </w:p>
    <w:p>
      <w:pPr>
        <w:pStyle w:val="ListNumber"/>
      </w:pPr>
      <w:r>
        <w:rPr>
          <w:rFonts w:ascii="Times New Roman" w:hAnsi="Times New Roman" w:eastAsia="宋体"/>
          <w:b/>
          <w:i w:val="0"/>
          <w:sz w:val="22"/>
        </w:rPr>
        <w:t>规律层</w:t>
      </w:r>
      <w:r>
        <w:rPr>
          <w:rFonts w:ascii="Times New Roman" w:hAnsi="Times New Roman" w:eastAsia="宋体"/>
          <w:b w:val="0"/>
          <w:i w:val="0"/>
          <w:sz w:val="22"/>
        </w:rPr>
        <w:t>：对电价做滞后相关、形状分解、星期/月初效应、残差分布审计，用事实决定模型形态，并主动排除不适配方向；</w:t>
      </w:r>
    </w:p>
    <w:p>
      <w:pPr>
        <w:pStyle w:val="ListNumber"/>
      </w:pPr>
      <w:r>
        <w:rPr>
          <w:rFonts w:ascii="Times New Roman" w:hAnsi="Times New Roman" w:eastAsia="宋体"/>
          <w:b/>
          <w:i w:val="0"/>
          <w:sz w:val="22"/>
        </w:rPr>
        <w:t>预测层</w:t>
      </w:r>
      <w:r>
        <w:rPr>
          <w:rFonts w:ascii="Times New Roman" w:hAnsi="Times New Roman" w:eastAsia="宋体"/>
          <w:b w:val="0"/>
          <w:i w:val="0"/>
          <w:sz w:val="22"/>
        </w:rPr>
        <w:t>：构建一套"四成员 + EGD 在线集成"电价点预测模型，问题二以 24 h 频率、问题三以 6 h 频率调用同一模型；配套显著性、消融与过拟合检验；</w:t>
      </w:r>
    </w:p>
    <w:p>
      <w:pPr>
        <w:pStyle w:val="ListNumber"/>
      </w:pPr>
      <w:r>
        <w:rPr>
          <w:rFonts w:ascii="Times New Roman" w:hAnsi="Times New Roman" w:eastAsia="宋体"/>
          <w:b/>
          <w:i w:val="0"/>
          <w:sz w:val="22"/>
        </w:rPr>
        <w:t>优化层</w:t>
      </w:r>
      <w:r>
        <w:rPr>
          <w:rFonts w:ascii="Times New Roman" w:hAnsi="Times New Roman" w:eastAsia="宋体"/>
          <w:b w:val="0"/>
          <w:i w:val="0"/>
          <w:sz w:val="22"/>
        </w:rPr>
        <w:t>：问题二用逐日确定性线性规划、问题三用四阶段随机规划，</w:t>
      </w:r>
      <w:r>
        <w:rPr>
          <w:rFonts w:ascii="Times New Roman" w:hAnsi="Times New Roman" w:eastAsia="宋体"/>
          <w:b/>
          <w:i w:val="0"/>
          <w:sz w:val="22"/>
        </w:rPr>
        <w:t>计划/优化一律用预测电价，事后结算一律用附件 4 真实电价</w:t>
      </w:r>
      <w:r>
        <w:rPr>
          <w:rFonts w:ascii="Times New Roman" w:hAnsi="Times New Roman" w:eastAsia="宋体"/>
          <w:b w:val="0"/>
          <w:i w:val="0"/>
          <w:sz w:val="22"/>
        </w:rPr>
        <w:t>，并以完美预见方案给出误差代价上界。</w:t>
      </w:r>
    </w:p>
    <w:p>
      <w:r>
        <w:rPr>
          <w:rFonts w:ascii="Times New Roman" w:hAnsi="Times New Roman" w:eastAsia="宋体"/>
          <w:b w:val="0"/>
          <w:i w:val="0"/>
          <w:sz w:val="22"/>
        </w:rPr>
        <w:t>---</w:t>
      </w:r>
    </w:p>
    <w:p>
      <w:pPr>
        <w:pStyle w:val="Heading2"/>
      </w:pPr>
      <w:r>
        <w:rPr>
          <w:rFonts w:ascii="Times New Roman" w:hAnsi="Times New Roman" w:eastAsia="黑体"/>
          <w:color w:val="000000"/>
        </w:rPr>
        <w:t>2 模型假设与符号说明</w:t>
      </w:r>
    </w:p>
    <w:p>
      <w:pPr>
        <w:pStyle w:val="Heading3"/>
      </w:pPr>
      <w:r>
        <w:rPr>
          <w:rFonts w:ascii="Times New Roman" w:hAnsi="Times New Roman" w:eastAsia="黑体"/>
          <w:color w:val="000000"/>
        </w:rPr>
        <w:t>2.1 基本假设</w:t>
      </w:r>
    </w:p>
    <w:p>
      <w:pPr>
        <w:pStyle w:val="ListNumber"/>
      </w:pPr>
      <w:r>
        <w:rPr>
          <w:rFonts w:ascii="Times New Roman" w:hAnsi="Times New Roman" w:eastAsia="宋体"/>
          <w:b w:val="0"/>
          <w:i w:val="0"/>
          <w:sz w:val="22"/>
        </w:rPr>
        <w:t>附件 4 电价真实、完整，不存在量测缺失；微网为价格接受者，其购电不影响电价。</w:t>
      </w:r>
    </w:p>
    <w:p>
      <w:pPr>
        <w:pStyle w:val="ListNumber"/>
      </w:pPr>
      <w:r>
        <w:rPr>
          <w:rFonts w:ascii="Times New Roman" w:hAnsi="Times New Roman" w:eastAsia="宋体"/>
          <w:b w:val="0"/>
          <w:i w:val="0"/>
          <w:sz w:val="22"/>
        </w:rPr>
        <w:t>0:00 决策时只能使用此前已实现信息；问题三第 s 次会话只能使用当天已落地的前 36s 个时段电价。</w:t>
      </w:r>
    </w:p>
    <w:p>
      <w:pPr>
        <w:pStyle w:val="ListNumber"/>
      </w:pPr>
      <w:r>
        <w:rPr>
          <w:rFonts w:ascii="Times New Roman" w:hAnsi="Times New Roman" w:eastAsia="宋体"/>
          <w:b w:val="0"/>
          <w:i w:val="0"/>
          <w:sz w:val="22"/>
        </w:rPr>
        <w:t>储能充放电效率、容量、功率上限等物理参数与第二、三问一致，且日内逐日衔接。</w:t>
      </w:r>
    </w:p>
    <w:p>
      <w:pPr>
        <w:pStyle w:val="ListNumber"/>
      </w:pPr>
      <w:r>
        <w:rPr>
          <w:rFonts w:ascii="Times New Roman" w:hAnsi="Times New Roman" w:eastAsia="宋体"/>
          <w:b w:val="0"/>
          <w:i w:val="0"/>
          <w:sz w:val="22"/>
        </w:rPr>
        <w:t>负载、光伏的预测误差结构沿用第二、三问结论；电价只做点预测、不抽取情景（依据见 3.1、4.5）。</w:t>
      </w:r>
    </w:p>
    <w:p>
      <w:pPr>
        <w:pStyle w:val="Heading3"/>
      </w:pPr>
      <w:r>
        <w:rPr>
          <w:rFonts w:ascii="Times New Roman" w:hAnsi="Times New Roman" w:eastAsia="黑体"/>
          <w:color w:val="000000"/>
        </w:rPr>
        <w:t>2.2 主要符号</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宋体"/>
                <w:b/>
                <w:i w:val="0"/>
                <w:sz w:val="20"/>
              </w:rPr>
              <w:t>符号</w:t>
            </w:r>
          </w:p>
        </w:tc>
        <w:tc>
          <w:tcPr>
            <w:tcW w:type="dxa" w:w="4320"/>
          </w:tcPr>
          <w:p>
            <w:r/>
            <w:r>
              <w:rPr>
                <w:rFonts w:ascii="Times New Roman" w:hAnsi="Times New Roman" w:eastAsia="宋体"/>
                <w:b/>
                <w:i w:val="0"/>
                <w:sz w:val="20"/>
              </w:rPr>
              <w:t>含义</w:t>
            </w:r>
          </w:p>
        </w:tc>
      </w:tr>
      <w:tr>
        <w:tc>
          <w:tcPr>
            <w:tcW w:type="dxa" w:w="4320"/>
          </w:tcPr>
          <w:p>
            <w:r/>
            <w:r>
              <w:rPr>
                <w:rFonts w:ascii="Times New Roman" w:hAnsi="Times New Roman" w:eastAsia="宋体"/>
                <w:b w:val="0"/>
                <w:i w:val="0"/>
                <w:sz w:val="20"/>
              </w:rPr>
              <w:t>p(d,t)</w:t>
            </w:r>
          </w:p>
        </w:tc>
        <w:tc>
          <w:tcPr>
            <w:tcW w:type="dxa" w:w="4320"/>
          </w:tcPr>
          <w:p>
            <w:r/>
            <w:r>
              <w:rPr>
                <w:rFonts w:ascii="Times New Roman" w:hAnsi="Times New Roman" w:eastAsia="宋体"/>
                <w:b w:val="0"/>
                <w:i w:val="0"/>
                <w:sz w:val="20"/>
              </w:rPr>
              <w:t>第 d 天第 t 个 10 min 时段真实电价，t=0,…,143， t=1/6 h</w:t>
            </w:r>
          </w:p>
        </w:tc>
      </w:tr>
      <w:tr>
        <w:tc>
          <w:tcPr>
            <w:tcW w:type="dxa" w:w="4320"/>
          </w:tcPr>
          <w:p>
            <w:r/>
            <w:r>
              <w:rPr>
                <w:rFonts w:ascii="Times New Roman" w:hAnsi="Times New Roman" w:eastAsia="宋体"/>
                <w:b w:val="0"/>
                <w:i w:val="0"/>
                <w:sz w:val="20"/>
              </w:rPr>
              <w:t>pd=1144Σt p(d,t)</w:t>
            </w:r>
          </w:p>
        </w:tc>
        <w:tc>
          <w:tcPr>
            <w:tcW w:type="dxa" w:w="4320"/>
          </w:tcPr>
          <w:p>
            <w:r/>
            <w:r>
              <w:rPr>
                <w:rFonts w:ascii="Times New Roman" w:hAnsi="Times New Roman" w:eastAsia="宋体"/>
                <w:b w:val="0"/>
                <w:i w:val="0"/>
                <w:sz w:val="20"/>
              </w:rPr>
              <w:t>第 d 天日均价（日水平）</w:t>
            </w:r>
          </w:p>
        </w:tc>
      </w:tr>
      <w:tr>
        <w:tc>
          <w:tcPr>
            <w:tcW w:type="dxa" w:w="4320"/>
          </w:tcPr>
          <w:p>
            <w:r/>
            <w:r>
              <w:rPr>
                <w:rFonts w:ascii="Times New Roman" w:hAnsi="Times New Roman" w:eastAsia="宋体"/>
                <w:b w:val="0"/>
                <w:i w:val="0"/>
                <w:sz w:val="20"/>
              </w:rPr>
              <w:t>p^((s))(d,t)</w:t>
            </w:r>
          </w:p>
        </w:tc>
        <w:tc>
          <w:tcPr>
            <w:tcW w:type="dxa" w:w="4320"/>
          </w:tcPr>
          <w:p>
            <w:r/>
            <w:r>
              <w:rPr>
                <w:rFonts w:ascii="Times New Roman" w:hAnsi="Times New Roman" w:eastAsia="宋体"/>
                <w:b w:val="0"/>
                <w:i w:val="0"/>
                <w:sz w:val="20"/>
              </w:rPr>
              <w:t>第 s 次会话对 (d,t) 的电价预测，s=0,1,2,3 对应 0/6/12/18 点</w:t>
            </w:r>
          </w:p>
        </w:tc>
      </w:tr>
      <w:tr>
        <w:tc>
          <w:tcPr>
            <w:tcW w:type="dxa" w:w="4320"/>
          </w:tcPr>
          <w:p>
            <w:r/>
            <w:r>
              <w:rPr>
                <w:rFonts w:ascii="Times New Roman" w:hAnsi="Times New Roman" w:eastAsia="宋体"/>
                <w:b w:val="0"/>
                <w:i w:val="0"/>
                <w:sz w:val="20"/>
              </w:rPr>
              <w:t>Lt,Pt / Lt,Pt</w:t>
            </w:r>
          </w:p>
        </w:tc>
        <w:tc>
          <w:tcPr>
            <w:tcW w:type="dxa" w:w="4320"/>
          </w:tcPr>
          <w:p>
            <w:r/>
            <w:r>
              <w:rPr>
                <w:rFonts w:ascii="Times New Roman" w:hAnsi="Times New Roman" w:eastAsia="宋体"/>
                <w:b w:val="0"/>
                <w:i w:val="0"/>
                <w:sz w:val="20"/>
              </w:rPr>
              <w:t>负载、光伏的真实值 / 预测值</w:t>
            </w:r>
          </w:p>
        </w:tc>
      </w:tr>
      <w:tr>
        <w:tc>
          <w:tcPr>
            <w:tcW w:type="dxa" w:w="4320"/>
          </w:tcPr>
          <w:p>
            <w:r/>
            <w:r>
              <w:rPr>
                <w:rFonts w:ascii="Times New Roman" w:hAnsi="Times New Roman" w:eastAsia="宋体"/>
                <w:b w:val="0"/>
                <w:i w:val="0"/>
                <w:sz w:val="20"/>
              </w:rPr>
              <w:t>Et；E(min),E(max)</w:t>
            </w:r>
          </w:p>
        </w:tc>
        <w:tc>
          <w:tcPr>
            <w:tcW w:type="dxa" w:w="4320"/>
          </w:tcPr>
          <w:p>
            <w:r/>
            <w:r>
              <w:rPr>
                <w:rFonts w:ascii="Times New Roman" w:hAnsi="Times New Roman" w:eastAsia="宋体"/>
                <w:b w:val="0"/>
                <w:i w:val="0"/>
                <w:sz w:val="20"/>
              </w:rPr>
              <w:t>储能电量；上下界（1200/10800 kWh）</w:t>
            </w:r>
          </w:p>
        </w:tc>
      </w:tr>
      <w:tr>
        <w:tc>
          <w:tcPr>
            <w:tcW w:type="dxa" w:w="4320"/>
          </w:tcPr>
          <w:p>
            <w:r/>
            <w:r>
              <w:rPr>
                <w:rFonts w:ascii="Times New Roman" w:hAnsi="Times New Roman" w:eastAsia="宋体"/>
                <w:b w:val="0"/>
                <w:i w:val="0"/>
                <w:sz w:val="20"/>
              </w:rPr>
              <w:t>η；P(max)</w:t>
            </w:r>
          </w:p>
        </w:tc>
        <w:tc>
          <w:tcPr>
            <w:tcW w:type="dxa" w:w="4320"/>
          </w:tcPr>
          <w:p>
            <w:r/>
            <w:r>
              <w:rPr>
                <w:rFonts w:ascii="Times New Roman" w:hAnsi="Times New Roman" w:eastAsia="宋体"/>
                <w:b w:val="0"/>
                <w:i w:val="0"/>
                <w:sz w:val="20"/>
              </w:rPr>
              <w:t>充放电效率 0.9；并网上限 5000 kW</w:t>
            </w:r>
          </w:p>
        </w:tc>
      </w:tr>
      <w:tr>
        <w:tc>
          <w:tcPr>
            <w:tcW w:type="dxa" w:w="4320"/>
          </w:tcPr>
          <w:p>
            <w:r/>
            <w:r>
              <w:rPr>
                <w:rFonts w:ascii="Times New Roman" w:hAnsi="Times New Roman" w:eastAsia="宋体"/>
                <w:b w:val="0"/>
                <w:i w:val="0"/>
                <w:sz w:val="20"/>
              </w:rPr>
              <w:t>at,bt,gt,ct,dt,qt</w:t>
            </w:r>
          </w:p>
        </w:tc>
        <w:tc>
          <w:tcPr>
            <w:tcW w:type="dxa" w:w="4320"/>
          </w:tcPr>
          <w:p>
            <w:r/>
            <w:r>
              <w:rPr>
                <w:rFonts w:ascii="Times New Roman" w:hAnsi="Times New Roman" w:eastAsia="宋体"/>
                <w:b w:val="0"/>
                <w:i w:val="0"/>
                <w:sz w:val="20"/>
              </w:rPr>
              <w:t>问题二 LP 变量（见 6.1）</w:t>
            </w:r>
          </w:p>
        </w:tc>
      </w:tr>
    </w:tbl>
    <w:p>
      <w:pPr>
        <w:spacing w:after="40"/>
      </w:pPr>
    </w:p>
    <w:p>
      <w:r>
        <w:rPr>
          <w:rFonts w:ascii="Times New Roman" w:hAnsi="Times New Roman" w:eastAsia="宋体"/>
          <w:b w:val="0"/>
          <w:i w:val="0"/>
          <w:sz w:val="22"/>
        </w:rPr>
        <w:t>---</w:t>
      </w:r>
    </w:p>
    <w:p>
      <w:pPr>
        <w:pStyle w:val="Heading2"/>
      </w:pPr>
      <w:r>
        <w:rPr>
          <w:rFonts w:ascii="Times New Roman" w:hAnsi="Times New Roman" w:eastAsia="黑体"/>
          <w:color w:val="000000"/>
        </w:rPr>
        <w:t>3 电价序列的统计规律：先审计、后选模</w:t>
      </w:r>
    </w:p>
    <w:p>
      <w:r>
        <w:rPr>
          <w:rFonts w:ascii="Times New Roman" w:hAnsi="Times New Roman" w:eastAsia="宋体"/>
          <w:b w:val="0"/>
          <w:i w:val="0"/>
          <w:sz w:val="22"/>
        </w:rPr>
        <w:t>建模前先对全年电价做审计，得到五条决定模型形态的事实（复现于 `priceforecast.py`）。</w:t>
      </w:r>
    </w:p>
    <w:p>
      <w:r>
        <w:rPr>
          <w:rFonts w:ascii="Times New Roman" w:hAnsi="Times New Roman" w:eastAsia="宋体"/>
          <w:b/>
          <w:i w:val="0"/>
          <w:sz w:val="22"/>
        </w:rPr>
        <w:t>规律 1——周相似远强于日连续。</w:t>
      </w:r>
      <w:r>
        <w:rPr>
          <w:rFonts w:ascii="Times New Roman" w:hAnsi="Times New Roman" w:eastAsia="宋体"/>
          <w:b w:val="0"/>
          <w:i w:val="0"/>
          <w:sz w:val="22"/>
        </w:rPr>
        <w:t xml:space="preserve"> 日均价的滞后 7 天自相关系数高达 0.963，而滞后 1 天仅 0.51、滞后 2—5 天近于 0，说明"上周同一天"是远比"昨天"更强的线索。基准实验同样印证：直接沿用昨日曲线（naive-day）MAE 为 84.33×10⁻³，而沿用上周同日整条曲线（naive-week）仅 47.15×10⁻³。因此模型骨架必须建立在"同星期类型"而非"昨日延续"之上。</w:t>
      </w:r>
    </w:p>
    <w:p>
      <w:r>
        <w:rPr>
          <w:rFonts w:ascii="Times New Roman" w:hAnsi="Times New Roman" w:eastAsia="宋体"/>
          <w:b/>
          <w:i w:val="0"/>
          <w:sz w:val="22"/>
        </w:rPr>
        <w:t>规律 2——日内"鸭子曲线"稳定但并非钉死。</w:t>
      </w:r>
      <w:r>
        <w:rPr>
          <w:rFonts w:ascii="Times New Roman" w:hAnsi="Times New Roman" w:eastAsia="宋体"/>
          <w:b w:val="0"/>
          <w:i w:val="0"/>
          <w:sz w:val="22"/>
        </w:rPr>
        <w:t xml:space="preserve"> 正午光伏大发压价形成深谷、20 时前后出现晚峰，峰谷约 3.8 倍，主形状占日内方差的绝大部分；但逐日相对平均形状仍有约 9% 的平滑形变。一个关键反例是：即便赋予"固定全局平均形状 × 上周水平"以</w:t>
      </w:r>
      <w:r>
        <w:rPr>
          <w:rFonts w:ascii="Times New Roman" w:hAnsi="Times New Roman" w:eastAsia="宋体"/>
          <w:b/>
          <w:i w:val="0"/>
          <w:sz w:val="22"/>
        </w:rPr>
        <w:t>上帝视角</w:t>
      </w:r>
      <w:r>
        <w:rPr>
          <w:rFonts w:ascii="Times New Roman" w:hAnsi="Times New Roman" w:eastAsia="宋体"/>
          <w:b w:val="0"/>
          <w:i w:val="0"/>
          <w:sz w:val="22"/>
        </w:rPr>
        <w:t>参数，其 MAE 仍达 65.74×10⁻³，反而劣于朴素的 naive-week。这证明日内形状不能钉成一条固定模板，必须时变。</w:t>
      </w:r>
    </w:p>
    <w:p>
      <w:r>
        <w:rPr>
          <w:rFonts w:ascii="Times New Roman" w:hAnsi="Times New Roman" w:eastAsia="宋体"/>
          <w:b/>
          <w:i w:val="0"/>
          <w:sz w:val="22"/>
        </w:rPr>
        <w:t>规律 3——星期类型呈二元结构、月初存在水平跳变。</w:t>
      </w:r>
      <w:r>
        <w:rPr>
          <w:rFonts w:ascii="Times New Roman" w:hAnsi="Times New Roman" w:eastAsia="宋体"/>
          <w:b w:val="0"/>
          <w:i w:val="0"/>
          <w:sz w:val="22"/>
        </w:rPr>
        <w:t xml:space="preserve"> 每周固定两天日均价系统性偏低约 23%；月初 regime 切换是 naive-week 误差最集中的时段（每月前 5 天 MAE 65.31×10⁻³，显著高于其余天的 43.57×10⁻³）。模型需要显式的日历项与水平漂移项。</w:t>
      </w:r>
    </w:p>
    <w:p>
      <w:r>
        <w:rPr>
          <w:rFonts w:ascii="Times New Roman" w:hAnsi="Times New Roman" w:eastAsia="宋体"/>
          <w:b/>
          <w:i w:val="0"/>
          <w:sz w:val="22"/>
        </w:rPr>
        <w:t>规律 4——日水平是主旋钮、残差良性。</w:t>
      </w:r>
      <w:r>
        <w:rPr>
          <w:rFonts w:ascii="Times New Roman" w:hAnsi="Times New Roman" w:eastAsia="宋体"/>
          <w:b w:val="0"/>
          <w:i w:val="0"/>
          <w:sz w:val="22"/>
        </w:rPr>
        <w:t xml:space="preserve"> 日内形状稳定，决定"今天贵不贵"的主要是日水平；剥离上述结构后残差偏度 0.07、超额峰度 0.69，近对称、无尖峰、无负价（全年仅 1 个时段低于 0.01 元）。</w:t>
      </w:r>
    </w:p>
    <w:p>
      <w:r>
        <w:rPr>
          <w:rFonts w:ascii="Times New Roman" w:hAnsi="Times New Roman" w:eastAsia="宋体"/>
          <w:b/>
          <w:i w:val="0"/>
          <w:sz w:val="22"/>
        </w:rPr>
        <w:t>规律 5（一条"不需要做"）。</w:t>
      </w:r>
      <w:r>
        <w:rPr>
          <w:rFonts w:ascii="Times New Roman" w:hAnsi="Times New Roman" w:eastAsia="宋体"/>
          <w:b w:val="0"/>
          <w:i w:val="0"/>
          <w:sz w:val="22"/>
        </w:rPr>
        <w:t xml:space="preserve"> GARCH、t 分布、对数变换等是为"波动集聚、尖峰厚尾"序列设计的[11]，图卷积网络需要多节点价区网络[15]；本数据为单一价区且残差良性，上述工具均无适用对象，强行引入只会增加复杂度。这一"做减法"的判断同样以数据为据。</w:t>
      </w:r>
    </w:p>
    <w:p>
      <w:r>
        <w:rPr>
          <w:rFonts w:ascii="Times New Roman" w:hAnsi="Times New Roman" w:eastAsia="宋体"/>
          <w:b w:val="0"/>
          <w:i w:val="0"/>
          <w:sz w:val="22"/>
        </w:rPr>
        <w:t>---</w:t>
      </w:r>
    </w:p>
    <w:p>
      <w:pPr>
        <w:pStyle w:val="Heading2"/>
      </w:pPr>
      <w:r>
        <w:rPr>
          <w:rFonts w:ascii="Times New Roman" w:hAnsi="Times New Roman" w:eastAsia="黑体"/>
          <w:color w:val="000000"/>
        </w:rPr>
        <w:t>4 电价点预测模型</w:t>
      </w:r>
    </w:p>
    <w:p>
      <w:pPr>
        <w:pStyle w:val="Heading3"/>
      </w:pPr>
      <w:r>
        <w:rPr>
          <w:rFonts w:ascii="Times New Roman" w:hAnsi="Times New Roman" w:eastAsia="黑体"/>
          <w:color w:val="000000"/>
        </w:rPr>
        <w:t>4.1 总体框架：一套模型、两种更新频率</w:t>
      </w:r>
    </w:p>
    <w:p>
      <w:r>
        <w:rPr>
          <w:rFonts w:ascii="Times New Roman" w:hAnsi="Times New Roman" w:eastAsia="宋体"/>
          <w:b w:val="0"/>
          <w:i w:val="0"/>
          <w:sz w:val="22"/>
        </w:rPr>
        <w:t>本文对问题二、问题三采用</w:t>
      </w:r>
      <w:r>
        <w:rPr>
          <w:rFonts w:ascii="Times New Roman" w:hAnsi="Times New Roman" w:eastAsia="宋体"/>
          <w:b/>
          <w:i w:val="0"/>
          <w:sz w:val="22"/>
        </w:rPr>
        <w:t>完全相同的一套预测模型</w:t>
      </w:r>
      <w:r>
        <w:rPr>
          <w:rFonts w:ascii="Times New Roman" w:hAnsi="Times New Roman" w:eastAsia="宋体"/>
          <w:b w:val="0"/>
          <w:i w:val="0"/>
          <w:sz w:val="22"/>
        </w:rPr>
        <w:t>，仅调用频率不同：</w:t>
      </w:r>
    </w:p>
    <w:p>
      <w:pPr>
        <w:pStyle w:val="ListBullet"/>
      </w:pPr>
      <w:r>
        <w:rPr>
          <w:rFonts w:ascii="Times New Roman" w:hAnsi="Times New Roman" w:eastAsia="宋体"/>
          <w:b w:val="0"/>
          <w:i w:val="0"/>
          <w:sz w:val="22"/>
        </w:rPr>
        <w:t>问题二（24 h 一次）：每天 0:00，在仅见历史的条件下一次性输出全天 144 段 p^((0))(d,t)；</w:t>
      </w:r>
    </w:p>
    <w:p>
      <w:pPr>
        <w:pStyle w:val="ListBullet"/>
      </w:pPr>
      <w:r>
        <w:rPr>
          <w:rFonts w:ascii="Times New Roman" w:hAnsi="Times New Roman" w:eastAsia="宋体"/>
          <w:b w:val="0"/>
          <w:i w:val="0"/>
          <w:sz w:val="22"/>
        </w:rPr>
        <w:t>问题三（6 h 一次）：0:00 输出同问题二；6/12/18 点会话时，当天前 36/72/108 段已实现，用同一模型把新信息并入、刷新剩余时段，得到 p^((1)),p^((2)),p^((3))。</w:t>
      </w:r>
    </w:p>
    <w:p>
      <w:r>
        <w:rPr>
          <w:rFonts w:ascii="Times New Roman" w:hAnsi="Times New Roman" w:eastAsia="宋体"/>
          <w:b w:val="0"/>
          <w:i w:val="0"/>
          <w:sz w:val="22"/>
        </w:rPr>
        <w:t>模型由四个机理互补的成员与一个在线集成器构成，每个成员都对应第 3 节的一条规律，而非盲目堆叠。</w:t>
      </w:r>
    </w:p>
    <w:p>
      <w:pPr>
        <w:pStyle w:val="Heading3"/>
      </w:pPr>
      <w:r>
        <w:rPr>
          <w:rFonts w:ascii="Times New Roman" w:hAnsi="Times New Roman" w:eastAsia="黑体"/>
          <w:color w:val="000000"/>
        </w:rPr>
        <w:t>4.2 四个异构成员</w:t>
      </w:r>
    </w:p>
    <w:p>
      <w:r>
        <w:rPr>
          <w:rFonts w:ascii="Times New Roman" w:hAnsi="Times New Roman" w:eastAsia="宋体"/>
          <w:b/>
          <w:i w:val="0"/>
          <w:sz w:val="22"/>
        </w:rPr>
        <w:t>M1 周同类型日指数加权。</w:t>
      </w:r>
      <w:r>
        <w:rPr>
          <w:rFonts w:ascii="Times New Roman" w:hAnsi="Times New Roman" w:eastAsia="宋体"/>
          <w:b w:val="0"/>
          <w:i w:val="0"/>
          <w:sz w:val="22"/>
        </w:rPr>
        <w:t xml:space="preserve"> 取过去 56 天内所有与预测日同星期几的历史日曲线，按时间距离指数加权：</w:t>
      </w:r>
    </w:p>
    <w:p>
      <w:pPr>
        <w:spacing w:after="80"/>
        <w:jc w:val="center"/>
      </w:pPr>
      <w:r>
        <w:rPr>
          <w:rFonts w:ascii="Times New Roman" w:hAnsi="Times New Roman" w:eastAsia="宋体"/>
          <w:b w:val="0"/>
          <w:i/>
          <w:sz w:val="22"/>
        </w:rPr>
        <w:t>p^(M1)(d,t)=Σ(j∈ Cd) wj p(j,t),   wj=(γ^(d-j))/(Σ(j'∈ Cd)γ^(d-j')), γ=0.90,</w:t>
        <w:br/>
        <w:t>其中 Cd 为同星期类型日集合。相较只取 7 天前单条曲线的 naive-week，M1 不把赌注押在单日，天然缓冲月初跳变（对应规律 1、3）。</w:t>
        <w:br/>
        <w:br/>
        <w:t>**M2 时变形状 × 水平。** 将电价分解为"日水平 × 归一化日内形状"。水平由最近 4 个同类型日指数加权（衰减 0.85）估计；归一化形状由近 28 天同类型日的"曲线/日均价"以 0.92 衰减加权、再归一到均值 1：</w:t>
      </w:r>
    </w:p>
    <w:p>
      <w:r>
        <w:rPr>
          <w:rFonts w:ascii="Times New Roman" w:hAnsi="Times New Roman" w:eastAsia="宋体"/>
          <w:b w:val="0"/>
          <w:i w:val="0"/>
          <w:sz w:val="22"/>
        </w:rPr>
        <w:t>形状随近窗缓慢演化而非固定，直接回应规律 2（固定形状已被反例证伪）。</w:t>
      </w:r>
    </w:p>
    <w:p>
      <w:r>
        <w:rPr>
          <w:rFonts w:ascii="Times New Roman" w:hAnsi="Times New Roman" w:eastAsia="宋体"/>
          <w:b/>
          <w:i w:val="0"/>
          <w:sz w:val="22"/>
        </w:rPr>
        <w:t>M3 逐时段 LightGBM。</w:t>
      </w:r>
      <w:r>
        <w:rPr>
          <w:rFonts w:ascii="Times New Roman" w:hAnsi="Times New Roman" w:eastAsia="宋体"/>
          <w:b w:val="0"/>
          <w:i w:val="0"/>
          <w:sz w:val="22"/>
        </w:rPr>
        <w:t xml:space="preserve"> 144 个时段共享一个梯度提升树模型，特征共 20 个：星期/月/年内日的正余弦周期编码、时段正余弦、月初 5 天标志、同时段滞后 lag(1,7,14,21,28)、上周同刻归一形状、近 1/2/3/7 天日水平及近 3 天水平漂移量。参数为 700 棵树、学习率 0.04、叶数 31、minchildsamples=40、行列采样 0.8、ℓ1/ℓ2 正则 1/5；</w:t>
      </w:r>
      <w:r>
        <w:rPr>
          <w:rFonts w:ascii="Times New Roman" w:hAnsi="Times New Roman" w:eastAsia="宋体"/>
          <w:b/>
          <w:i w:val="0"/>
          <w:sz w:val="22"/>
        </w:rPr>
        <w:t>每 7 天用扩展窗重训一次，训练样本严格截止到预测日前一天</w:t>
      </w:r>
      <w:r>
        <w:rPr>
          <w:rFonts w:ascii="Times New Roman" w:hAnsi="Times New Roman" w:eastAsia="宋体"/>
          <w:b w:val="0"/>
          <w:i w:val="0"/>
          <w:sz w:val="22"/>
        </w:rPr>
        <w:t>。它是唯一显式"看见"日历与水平漂移的成员（对应规律 3），树模型对小样本与缺失稳健，并可输出特征重要度，其在现货出清价预测中的有效性已有中文文献支撑[3]。</w:t>
      </w:r>
    </w:p>
    <w:p>
      <w:r>
        <w:rPr>
          <w:rFonts w:ascii="Times New Roman" w:hAnsi="Times New Roman" w:eastAsia="宋体"/>
          <w:b/>
          <w:i w:val="0"/>
          <w:sz w:val="22"/>
        </w:rPr>
        <w:t>M4 相似日 kNN。</w:t>
      </w:r>
      <w:r>
        <w:rPr>
          <w:rFonts w:ascii="Times New Roman" w:hAnsi="Times New Roman" w:eastAsia="宋体"/>
          <w:b w:val="0"/>
          <w:i w:val="0"/>
          <w:sz w:val="22"/>
        </w:rPr>
        <w:t xml:space="preserve"> 在近 56 天同类型日中，以"降采样到 24 段的归一曲线 + 日水平"为描述向量，取最相似的 k=4 日，按 softmax 相似度加权整条曲线。它是非参数兜底，在 M3 训练样本不足的冷启动期尤为可靠。</w:t>
      </w:r>
    </w:p>
    <w:p>
      <w:pPr>
        <w:pStyle w:val="Heading3"/>
      </w:pPr>
      <w:r>
        <w:rPr>
          <w:rFonts w:ascii="Times New Roman" w:hAnsi="Times New Roman" w:eastAsia="黑体"/>
          <w:color w:val="000000"/>
        </w:rPr>
        <w:t>4.3 EGD 在线集成</w:t>
      </w:r>
    </w:p>
    <w:p>
      <w:r>
        <w:rPr>
          <w:rFonts w:ascii="Times New Roman" w:hAnsi="Times New Roman" w:eastAsia="宋体"/>
          <w:b w:val="0"/>
          <w:i w:val="0"/>
          <w:sz w:val="22"/>
        </w:rPr>
        <w:t>固定选用单一模型会在不同时期轮流失效（事后统计 M3 仅在 69% 的天单日最优）。本文采用指数梯度下降（Exponentiated Gradient Descent，在线学习）逐日更新四成员权重。记成员 i 到当日为止的日 MAE 序列，取近 30 天并以 0.95 指数核加权得 ℓi，除以其中位数做尺度归一后更新：</w:t>
      </w:r>
    </w:p>
    <w:p>
      <w:pPr>
        <w:spacing w:after="80"/>
        <w:jc w:val="center"/>
      </w:pPr>
      <w:r>
        <w:rPr>
          <w:rFonts w:ascii="Times New Roman" w:hAnsi="Times New Roman" w:eastAsia="宋体"/>
          <w:b w:val="0"/>
          <w:i/>
          <w:sz w:val="22"/>
        </w:rPr>
        <w:t>wi←(exp(log wi-η ℓi/median(ℓ)))/(Σjexp(log wj-η ℓj/median(ℓ))),   η=0.10.</w:t>
        <w:br/>
        <w:t>冷启动权重为 (0.30,0.30,0.15,0.25)，每 7 天重训时向初值做一次随数据量衰减的小幅回缩（K 步重置）。在线运行后权重升至约 0.9 给 M3、保留约 10% 给三个统计成员，实现"强模型主导、统计模型在 regime 切换期兜底"。多模型/多校准窗口在线加权相对固定单模型的优势及其条件见文献[5]。</w:t>
        <w:br/>
        <w:br/>
        <w:t>### 4.4 问题三的 6 h 滚动更新（同一模型）</w:t>
        <w:br/>
        <w:t>到第 s 次会话时，当天前 m∈\36,72,108\ 段电价已实现。依据规律 4（水平是主旋钮、形状稳定），用已实现前缀相对日前预测的水平偏差对剩余段做平移刷新：</w:t>
      </w:r>
    </w:p>
    <w:p>
      <w:r>
        <w:rPr>
          <w:rFonts w:ascii="Times New Roman" w:hAnsi="Times New Roman" w:eastAsia="宋体"/>
          <w:b w:val="0"/>
          <w:i w:val="0"/>
          <w:sz w:val="22"/>
        </w:rPr>
        <w:t>p^((s))(d,t)=p(d,t),  t&lt;m (已实现),\ p^((0))(d,t)+δs,  t≥ m.</w:t>
      </w:r>
    </w:p>
    <w:p>
      <w:pPr>
        <w:pStyle w:val="Heading3"/>
      </w:pPr>
      <w:r>
        <w:rPr>
          <w:rFonts w:ascii="Times New Roman" w:hAnsi="Times New Roman" w:eastAsia="黑体"/>
          <w:color w:val="000000"/>
        </w:rPr>
        <w:t>4.5 为何两情境最终共用同一模型架构：独立日内方案的"提出—实现—证伪"</w:t>
      </w:r>
    </w:p>
    <w:p>
      <w:r>
        <w:rPr>
          <w:rFonts w:ascii="Times New Roman" w:hAnsi="Times New Roman" w:eastAsia="宋体"/>
          <w:b w:val="0"/>
          <w:i w:val="0"/>
          <w:sz w:val="22"/>
        </w:rPr>
        <w:t>需要特别说明，</w:t>
      </w:r>
      <w:r>
        <w:rPr>
          <w:rFonts w:ascii="Times New Roman" w:hAnsi="Times New Roman" w:eastAsia="宋体"/>
          <w:b/>
          <w:i w:val="0"/>
          <w:sz w:val="22"/>
        </w:rPr>
        <w:t>问题二与问题三共用一套模型并非一开始的默认选择，而是具体计算对比之后的结论</w:t>
      </w:r>
      <w:r>
        <w:rPr>
          <w:rFonts w:ascii="Times New Roman" w:hAnsi="Times New Roman" w:eastAsia="宋体"/>
          <w:b w:val="0"/>
          <w:i w:val="0"/>
          <w:sz w:val="22"/>
        </w:rPr>
        <w:t>。</w:t>
      </w:r>
    </w:p>
    <w:p>
      <w:r>
        <w:rPr>
          <w:rFonts w:ascii="Times New Roman" w:hAnsi="Times New Roman" w:eastAsia="宋体"/>
          <w:b/>
          <w:i w:val="0"/>
          <w:sz w:val="22"/>
        </w:rPr>
        <w:t>第一步：从信息集差异出发，先假设可能需要两套模型。</w:t>
      </w:r>
      <w:r>
        <w:rPr>
          <w:rFonts w:ascii="Times New Roman" w:hAnsi="Times New Roman" w:eastAsia="宋体"/>
          <w:b w:val="0"/>
          <w:i w:val="0"/>
          <w:sz w:val="22"/>
        </w:rPr>
        <w:t xml:space="preserve"> 问题二在 0:00 看不到任何当日真实电价，是"无锚的全天曲线外推"；问题三在 6/12/18 点已分别看到当天前 36/72/108 段，是"已知前缀、补全剩余曲线"。两者表面任务不同，按常理应当为问题三单独设计一个</w:t>
      </w:r>
      <w:r>
        <w:rPr>
          <w:rFonts w:ascii="Times New Roman" w:hAnsi="Times New Roman" w:eastAsia="宋体"/>
          <w:b/>
          <w:i w:val="0"/>
          <w:sz w:val="22"/>
        </w:rPr>
        <w:t>日内（intraday）模型</w:t>
      </w:r>
      <w:r>
        <w:rPr>
          <w:rFonts w:ascii="Times New Roman" w:hAnsi="Times New Roman" w:eastAsia="宋体"/>
          <w:b w:val="0"/>
          <w:i w:val="0"/>
          <w:sz w:val="22"/>
        </w:rPr>
        <w:t>，与日前模型池相互独立。</w:t>
      </w:r>
    </w:p>
    <w:p>
      <w:r>
        <w:rPr>
          <w:rFonts w:ascii="Times New Roman" w:hAnsi="Times New Roman" w:eastAsia="宋体"/>
          <w:b/>
          <w:i w:val="0"/>
          <w:sz w:val="22"/>
        </w:rPr>
        <w:t>第二步：把独立日内方案真正实现出来。</w:t>
      </w:r>
      <w:r>
        <w:rPr>
          <w:rFonts w:ascii="Times New Roman" w:hAnsi="Times New Roman" w:eastAsia="宋体"/>
          <w:b w:val="0"/>
          <w:i w:val="0"/>
          <w:sz w:val="22"/>
        </w:rPr>
        <w:t xml:space="preserve"> 我们据此构建了一个与日前 M1—M4 完全无关的"</w:t>
      </w:r>
      <w:r>
        <w:rPr>
          <w:rFonts w:ascii="Times New Roman" w:hAnsi="Times New Roman" w:eastAsia="宋体"/>
          <w:b/>
          <w:i w:val="0"/>
          <w:sz w:val="22"/>
        </w:rPr>
        <w:t>前缀条件相似日补全模型（ICA）</w:t>
      </w:r>
      <w:r>
        <w:rPr>
          <w:rFonts w:ascii="Times New Roman" w:hAnsi="Times New Roman" w:eastAsia="宋体"/>
          <w:b w:val="0"/>
          <w:i w:val="0"/>
          <w:sz w:val="22"/>
        </w:rPr>
        <w:t>"：以当日前缀的归一化形状与水平为查询，在历史日中按"前缀形状 RMSE + 水平对数差 + 非同星期惩罚"检索最相似的 k 日，直接取这些历史日</w:t>
      </w:r>
      <w:r>
        <w:rPr>
          <w:rFonts w:ascii="Times New Roman" w:hAnsi="Times New Roman" w:eastAsia="宋体"/>
          <w:b/>
          <w:i w:val="0"/>
          <w:sz w:val="22"/>
        </w:rPr>
        <w:t>对应的剩余时段曲线</w:t>
      </w:r>
      <w:r>
        <w:rPr>
          <w:rFonts w:ascii="Times New Roman" w:hAnsi="Times New Roman" w:eastAsia="宋体"/>
          <w:b w:val="0"/>
          <w:i w:val="0"/>
          <w:sz w:val="22"/>
        </w:rPr>
        <w:t>、按当日水平缩放后 softmax 加权补全。它是纯非参数模型，完全不调用日前模型池的任何输出，是货真价实的"第二套方案"。</w:t>
      </w:r>
    </w:p>
    <w:p>
      <w:r>
        <w:rPr>
          <w:rFonts w:ascii="Times New Roman" w:hAnsi="Times New Roman" w:eastAsia="宋体"/>
          <w:b/>
          <w:i w:val="0"/>
          <w:sz w:val="22"/>
        </w:rPr>
        <w:t>第三步：同口径正面对比，用数据决定取舍。</w:t>
      </w:r>
      <w:r>
        <w:rPr>
          <w:rFonts w:ascii="Times New Roman" w:hAnsi="Times New Roman" w:eastAsia="宋体"/>
          <w:b w:val="0"/>
          <w:i w:val="0"/>
          <w:sz w:val="22"/>
        </w:rPr>
        <w:t xml:space="preserve"> 在完全相同的 334 天、相同剩余段上比较（表，MAE×10³）：</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宋体"/>
                <w:b/>
                <w:i w:val="0"/>
                <w:sz w:val="20"/>
              </w:rPr>
              <w:t>会话（剩余段）</w:t>
            </w:r>
          </w:p>
        </w:tc>
        <w:tc>
          <w:tcPr>
            <w:tcW w:type="dxa" w:w="2880"/>
          </w:tcPr>
          <w:p>
            <w:r/>
            <w:r>
              <w:rPr>
                <w:rFonts w:ascii="Times New Roman" w:hAnsi="Times New Roman" w:eastAsia="宋体"/>
                <w:b/>
                <w:i w:val="0"/>
                <w:sz w:val="20"/>
              </w:rPr>
              <w:t>独立 ICA（12 组参数中最优）</w:t>
            </w:r>
          </w:p>
        </w:tc>
        <w:tc>
          <w:tcPr>
            <w:tcW w:type="dxa" w:w="2880"/>
          </w:tcPr>
          <w:p>
            <w:r/>
            <w:r>
              <w:rPr>
                <w:rFonts w:ascii="Times New Roman" w:hAnsi="Times New Roman" w:eastAsia="宋体"/>
                <w:b/>
                <w:i w:val="0"/>
                <w:sz w:val="20"/>
              </w:rPr>
              <w:t>同一模型 6 h 滚动</w:t>
            </w:r>
          </w:p>
        </w:tc>
      </w:tr>
      <w:tr>
        <w:tc>
          <w:tcPr>
            <w:tcW w:type="dxa" w:w="2880"/>
          </w:tcPr>
          <w:p>
            <w:r/>
            <w:r>
              <w:rPr>
                <w:rFonts w:ascii="Times New Roman" w:hAnsi="Times New Roman" w:eastAsia="宋体"/>
                <w:b w:val="0"/>
                <w:i w:val="0"/>
                <w:sz w:val="20"/>
              </w:rPr>
              <w:t>6:00 [36,144)</w:t>
            </w:r>
          </w:p>
        </w:tc>
        <w:tc>
          <w:tcPr>
            <w:tcW w:type="dxa" w:w="2880"/>
          </w:tcPr>
          <w:p>
            <w:r/>
            <w:r>
              <w:rPr>
                <w:rFonts w:ascii="Times New Roman" w:hAnsi="Times New Roman" w:eastAsia="宋体"/>
                <w:b w:val="0"/>
                <w:i w:val="0"/>
                <w:sz w:val="20"/>
              </w:rPr>
              <w:t>90.62</w:t>
            </w:r>
          </w:p>
        </w:tc>
        <w:tc>
          <w:tcPr>
            <w:tcW w:type="dxa" w:w="2880"/>
          </w:tcPr>
          <w:p>
            <w:r/>
            <w:r>
              <w:rPr>
                <w:rFonts w:ascii="Times New Roman" w:hAnsi="Times New Roman" w:eastAsia="宋体"/>
                <w:b w:val="0"/>
                <w:i w:val="0"/>
                <w:sz w:val="20"/>
              </w:rPr>
              <w:t>**44.06**</w:t>
            </w:r>
          </w:p>
        </w:tc>
      </w:tr>
      <w:tr>
        <w:tc>
          <w:tcPr>
            <w:tcW w:type="dxa" w:w="2880"/>
          </w:tcPr>
          <w:p>
            <w:r/>
            <w:r>
              <w:rPr>
                <w:rFonts w:ascii="Times New Roman" w:hAnsi="Times New Roman" w:eastAsia="宋体"/>
                <w:b w:val="0"/>
                <w:i w:val="0"/>
                <w:sz w:val="20"/>
              </w:rPr>
              <w:t>12:00 [72,144)</w:t>
            </w:r>
          </w:p>
        </w:tc>
        <w:tc>
          <w:tcPr>
            <w:tcW w:type="dxa" w:w="2880"/>
          </w:tcPr>
          <w:p>
            <w:r/>
            <w:r>
              <w:rPr>
                <w:rFonts w:ascii="Times New Roman" w:hAnsi="Times New Roman" w:eastAsia="宋体"/>
                <w:b w:val="0"/>
                <w:i w:val="0"/>
                <w:sz w:val="20"/>
              </w:rPr>
              <w:t>85.48</w:t>
            </w:r>
          </w:p>
        </w:tc>
        <w:tc>
          <w:tcPr>
            <w:tcW w:type="dxa" w:w="2880"/>
          </w:tcPr>
          <w:p>
            <w:r/>
            <w:r>
              <w:rPr>
                <w:rFonts w:ascii="Times New Roman" w:hAnsi="Times New Roman" w:eastAsia="宋体"/>
                <w:b w:val="0"/>
                <w:i w:val="0"/>
                <w:sz w:val="20"/>
              </w:rPr>
              <w:t>**41.22**</w:t>
            </w:r>
          </w:p>
        </w:tc>
      </w:tr>
      <w:tr>
        <w:tc>
          <w:tcPr>
            <w:tcW w:type="dxa" w:w="2880"/>
          </w:tcPr>
          <w:p>
            <w:r/>
            <w:r>
              <w:rPr>
                <w:rFonts w:ascii="Times New Roman" w:hAnsi="Times New Roman" w:eastAsia="宋体"/>
                <w:b w:val="0"/>
                <w:i w:val="0"/>
                <w:sz w:val="20"/>
              </w:rPr>
              <w:t>18:00 [108,144)</w:t>
            </w:r>
          </w:p>
        </w:tc>
        <w:tc>
          <w:tcPr>
            <w:tcW w:type="dxa" w:w="2880"/>
          </w:tcPr>
          <w:p>
            <w:r/>
            <w:r>
              <w:rPr>
                <w:rFonts w:ascii="Times New Roman" w:hAnsi="Times New Roman" w:eastAsia="宋体"/>
                <w:b w:val="0"/>
                <w:i w:val="0"/>
                <w:sz w:val="20"/>
              </w:rPr>
              <w:t>112.11</w:t>
            </w:r>
          </w:p>
        </w:tc>
        <w:tc>
          <w:tcPr>
            <w:tcW w:type="dxa" w:w="2880"/>
          </w:tcPr>
          <w:p>
            <w:r/>
            <w:r>
              <w:rPr>
                <w:rFonts w:ascii="Times New Roman" w:hAnsi="Times New Roman" w:eastAsia="宋体"/>
                <w:b w:val="0"/>
                <w:i w:val="0"/>
                <w:sz w:val="20"/>
              </w:rPr>
              <w:t>**39.00**</w:t>
            </w:r>
          </w:p>
        </w:tc>
      </w:tr>
    </w:tbl>
    <w:p>
      <w:pPr>
        <w:spacing w:after="40"/>
      </w:pPr>
    </w:p>
    <w:p>
      <w:r>
        <w:rPr>
          <w:rFonts w:ascii="Times New Roman" w:hAnsi="Times New Roman" w:eastAsia="宋体"/>
          <w:b w:val="0"/>
          <w:i w:val="0"/>
          <w:sz w:val="22"/>
        </w:rPr>
        <w:t>ICA 在回溯窗 56/84 天、近邻数 k=4/6/8、形状—水平权重等 12 组参数组合下，剩余段 MAE 全部落在 85—145 区间，</w:t>
      </w:r>
      <w:r>
        <w:rPr>
          <w:rFonts w:ascii="Times New Roman" w:hAnsi="Times New Roman" w:eastAsia="宋体"/>
          <w:b/>
          <w:i w:val="0"/>
          <w:sz w:val="22"/>
        </w:rPr>
        <w:t>无一接近同一模型滚动的 39—44，独立方案被数据证伪</w:t>
      </w:r>
      <w:r>
        <w:rPr>
          <w:rFonts w:ascii="Times New Roman" w:hAnsi="Times New Roman" w:eastAsia="宋体"/>
          <w:b w:val="0"/>
          <w:i w:val="0"/>
          <w:sz w:val="22"/>
        </w:rPr>
        <w:t>。</w:t>
      </w:r>
    </w:p>
    <w:p>
      <w:r>
        <w:rPr>
          <w:rFonts w:ascii="Times New Roman" w:hAnsi="Times New Roman" w:eastAsia="宋体"/>
          <w:b/>
          <w:i w:val="0"/>
          <w:sz w:val="22"/>
        </w:rPr>
        <w:t>第四步：机理解释为什么"同一模型 + 滚动更新"反而更优。</w:t>
      </w:r>
    </w:p>
    <w:p>
      <w:pPr>
        <w:pStyle w:val="ListNumber"/>
      </w:pPr>
      <w:r>
        <w:rPr>
          <w:rFonts w:ascii="Times New Roman" w:hAnsi="Times New Roman" w:eastAsia="宋体"/>
          <w:b w:val="0"/>
          <w:i w:val="0"/>
          <w:sz w:val="22"/>
        </w:rPr>
        <w:t>新增信息的内在维度很低：规律 2、4 表明日内形状稳定、唯一的主旋钮是日水平，会话时刻真正新增的信息只是"今天实际处于什么水平"，用一个水平偏差 δs 校准即已充分，无需重建整条曲线；</w:t>
      </w:r>
    </w:p>
    <w:p>
      <w:pPr>
        <w:pStyle w:val="ListNumber"/>
      </w:pPr>
      <w:r>
        <w:rPr>
          <w:rFonts w:ascii="Times New Roman" w:hAnsi="Times New Roman" w:eastAsia="宋体"/>
          <w:b w:val="0"/>
          <w:i w:val="0"/>
          <w:sz w:val="22"/>
        </w:rPr>
        <w:t>独立补全浪费了日前模型池的刻画能力：ICA 仅凭"半条前缀"匹配历史日，可用信息少、对局部形状噪声敏感；而同一模型滚动完整保留了 M1—M4 对周周期、时变形状、月初跳变的全部刻画，只把前缀用于水平修正，信息利用更充分；</w:t>
      </w:r>
    </w:p>
    <w:p>
      <w:pPr>
        <w:pStyle w:val="ListNumber"/>
      </w:pPr>
      <w:r>
        <w:rPr>
          <w:rFonts w:ascii="Times New Roman" w:hAnsi="Times New Roman" w:eastAsia="宋体"/>
          <w:b w:val="0"/>
          <w:i w:val="0"/>
          <w:sz w:val="22"/>
        </w:rPr>
        <w:t>线性集成下二者数学等价：EGD 为线性加权，对集成曲线施加水平偏移，等价于四个成员各自用前缀完成水平更新后再集成——因此"同一模型 6 h 刷新"本身就是一套完整的日内更新，而非日前结果的简单沿用。</w:t>
      </w:r>
    </w:p>
    <w:p>
      <w:r>
        <w:rPr>
          <w:rFonts w:ascii="Times New Roman" w:hAnsi="Times New Roman" w:eastAsia="宋体"/>
          <w:b/>
          <w:i w:val="0"/>
          <w:sz w:val="22"/>
        </w:rPr>
        <w:t>结论</w:t>
      </w:r>
      <w:r>
        <w:rPr>
          <w:rFonts w:ascii="Times New Roman" w:hAnsi="Times New Roman" w:eastAsia="宋体"/>
          <w:b w:val="0"/>
          <w:i w:val="0"/>
          <w:sz w:val="22"/>
        </w:rPr>
        <w:t>：是否需要两套模型是一个</w:t>
      </w:r>
      <w:r>
        <w:rPr>
          <w:rFonts w:ascii="Times New Roman" w:hAnsi="Times New Roman" w:eastAsia="宋体"/>
          <w:b/>
          <w:i w:val="0"/>
          <w:sz w:val="22"/>
        </w:rPr>
        <w:t>经对照实验回答的经验问题，而非先验设定</w:t>
      </w:r>
      <w:r>
        <w:rPr>
          <w:rFonts w:ascii="Times New Roman" w:hAnsi="Times New Roman" w:eastAsia="宋体"/>
          <w:b w:val="0"/>
          <w:i w:val="0"/>
          <w:sz w:val="22"/>
        </w:rPr>
        <w:t>。在本数据"强周周期 + 稳定形状 + 水平主导 + 良性残差"的结构下，另立日内模型显著更差，故按"如无必要、勿增实体"选取</w:t>
      </w:r>
      <w:r>
        <w:rPr>
          <w:rFonts w:ascii="Times New Roman" w:hAnsi="Times New Roman" w:eastAsia="宋体"/>
          <w:b/>
          <w:i w:val="0"/>
          <w:sz w:val="22"/>
        </w:rPr>
        <w:t>同一模型架构、仅以更新频率（24 h / 6 h）区分两情境</w:t>
      </w:r>
      <w:r>
        <w:rPr>
          <w:rFonts w:ascii="Times New Roman" w:hAnsi="Times New Roman" w:eastAsia="宋体"/>
          <w:b w:val="0"/>
          <w:i w:val="0"/>
          <w:sz w:val="22"/>
        </w:rPr>
        <w:t>：既消除冗余模型及其额外过拟合面，又保证两情境口径统一、结果可比。独立方案 ICA 被完整实现并作为反例保留（脚本 `sessicatest.py`，结论可复现），这一"先分后合、由计算决定"的过程正是模型选择严谨性的体现。</w:t>
      </w:r>
    </w:p>
    <w:p>
      <w:pPr>
        <w:pStyle w:val="Heading3"/>
      </w:pPr>
      <w:r>
        <w:rPr>
          <w:rFonts w:ascii="Times New Roman" w:hAnsi="Times New Roman" w:eastAsia="黑体"/>
          <w:color w:val="000000"/>
        </w:rPr>
        <w:t>4.6 电价为何不进入问题三的情景树</w:t>
      </w:r>
    </w:p>
    <w:p>
      <w:r>
        <w:rPr>
          <w:rFonts w:ascii="Times New Roman" w:hAnsi="Times New Roman" w:eastAsia="宋体"/>
          <w:b w:val="0"/>
          <w:i w:val="0"/>
          <w:sz w:val="22"/>
        </w:rPr>
        <w:t>问题三的情景树是为</w:t>
      </w:r>
      <w:r>
        <w:rPr>
          <w:rFonts w:ascii="Times New Roman" w:hAnsi="Times New Roman" w:eastAsia="宋体"/>
          <w:b/>
          <w:i w:val="0"/>
          <w:sz w:val="22"/>
        </w:rPr>
        <w:t>带外部预报误差分布的光伏/负载</w:t>
      </w:r>
      <w:r>
        <w:rPr>
          <w:rFonts w:ascii="Times New Roman" w:hAnsi="Times New Roman" w:eastAsia="宋体"/>
          <w:b w:val="0"/>
          <w:i w:val="0"/>
          <w:sz w:val="22"/>
        </w:rPr>
        <w:t>服务的；电价没有外部"预报"、只有已实现历史，且残差近对称良性（规律 4），不存在可抽样的误差结构。因此电价以各会话的</w:t>
      </w:r>
      <w:r>
        <w:rPr>
          <w:rFonts w:ascii="Times New Roman" w:hAnsi="Times New Roman" w:eastAsia="宋体"/>
          <w:b/>
          <w:i w:val="0"/>
          <w:sz w:val="22"/>
        </w:rPr>
        <w:t>确定性点预测</w:t>
      </w:r>
      <w:r>
        <w:rPr>
          <w:rFonts w:ascii="Times New Roman" w:hAnsi="Times New Roman" w:eastAsia="宋体"/>
          <w:b w:val="0"/>
          <w:i w:val="0"/>
          <w:sz w:val="22"/>
        </w:rPr>
        <w:t>作为该阶段优化模型的已知价格系数，随机性仍只由光伏/负载情景承载，既避免情景维数爆炸，也与第三问方法形成清晰边界。</w:t>
      </w:r>
    </w:p>
    <w:p>
      <w:r>
        <w:rPr>
          <w:rFonts w:ascii="Times New Roman" w:hAnsi="Times New Roman" w:eastAsia="宋体"/>
          <w:b w:val="0"/>
          <w:i w:val="0"/>
          <w:sz w:val="22"/>
        </w:rPr>
        <w:t>---</w:t>
      </w:r>
    </w:p>
    <w:p>
      <w:pPr>
        <w:pStyle w:val="Heading2"/>
      </w:pPr>
      <w:r>
        <w:rPr>
          <w:rFonts w:ascii="Times New Roman" w:hAnsi="Times New Roman" w:eastAsia="黑体"/>
          <w:color w:val="000000"/>
        </w:rPr>
        <w:t>5 模型检验：精度、显著性、消融与过拟合</w:t>
      </w:r>
    </w:p>
    <w:p>
      <w:pPr>
        <w:pStyle w:val="Heading3"/>
      </w:pPr>
      <w:r>
        <w:rPr>
          <w:rFonts w:ascii="Times New Roman" w:hAnsi="Times New Roman" w:eastAsia="黑体"/>
          <w:color w:val="000000"/>
        </w:rPr>
        <w:t>5.1 评价协议</w:t>
      </w:r>
    </w:p>
    <w:p>
      <w:r>
        <w:rPr>
          <w:rFonts w:ascii="Times New Roman" w:hAnsi="Times New Roman" w:eastAsia="宋体"/>
          <w:b w:val="0"/>
          <w:i w:val="0"/>
          <w:sz w:val="22"/>
        </w:rPr>
        <w:t>采用电力价格预测公认的</w:t>
      </w:r>
      <w:r>
        <w:rPr>
          <w:rFonts w:ascii="Times New Roman" w:hAnsi="Times New Roman" w:eastAsia="宋体"/>
          <w:b/>
          <w:i w:val="0"/>
          <w:sz w:val="22"/>
        </w:rPr>
        <w:t>滚动日前（walk-forward）评估</w:t>
      </w:r>
      <w:r>
        <w:rPr>
          <w:rFonts w:ascii="Times New Roman" w:hAnsi="Times New Roman" w:eastAsia="宋体"/>
          <w:b w:val="0"/>
          <w:i w:val="0"/>
          <w:sz w:val="22"/>
        </w:rPr>
        <w:t>：评估期 334 天，预测第 d 天只用 d 之前数据；以最强朴素基线 naive-week 为锚报告相对误差 rMAE=MAE/MAE(nw)；用 Wilcoxon 符号秩检验判断改进的统计显著性[12]。</w:t>
      </w:r>
    </w:p>
    <w:p>
      <w:pPr>
        <w:pStyle w:val="Heading3"/>
      </w:pPr>
      <w:r>
        <w:rPr>
          <w:rFonts w:ascii="Times New Roman" w:hAnsi="Times New Roman" w:eastAsia="黑体"/>
          <w:color w:val="000000"/>
        </w:rPr>
        <w:t>5.2 总体精度阶梯</w:t>
      </w:r>
    </w:p>
    <w:p>
      <w:r>
        <w:rPr>
          <w:rFonts w:ascii="Times New Roman" w:hAnsi="Times New Roman" w:eastAsia="宋体"/>
          <w:b w:val="0"/>
          <w:i w:val="0"/>
          <w:sz w:val="22"/>
        </w:rPr>
        <w:t>结果见表 1。四成员全部优于主锚，集成 MAE=42.01×10⁻³、rMAE=0.891（较主锚 −10.9%）；刻意保留的"固定形状"反例（65.74）验证了规律 2 的判断。</w:t>
      </w:r>
    </w:p>
    <w:p>
      <w:r>
        <w:rPr>
          <w:rFonts w:ascii="Times New Roman" w:hAnsi="Times New Roman" w:eastAsia="宋体"/>
          <w:b/>
          <w:i w:val="0"/>
          <w:sz w:val="22"/>
        </w:rPr>
        <w:t>表 1　日前预测精度（334 天，MAE×10³ 元/kWh）</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宋体"/>
                <w:b/>
                <w:i w:val="0"/>
                <w:sz w:val="20"/>
              </w:rPr>
              <w:t>模型</w:t>
            </w:r>
          </w:p>
        </w:tc>
        <w:tc>
          <w:tcPr>
            <w:tcW w:type="dxa" w:w="2880"/>
          </w:tcPr>
          <w:p>
            <w:r/>
            <w:r>
              <w:rPr>
                <w:rFonts w:ascii="Times New Roman" w:hAnsi="Times New Roman" w:eastAsia="宋体"/>
                <w:b/>
                <w:i w:val="0"/>
                <w:sz w:val="20"/>
              </w:rPr>
              <w:t>MAE</w:t>
            </w:r>
          </w:p>
        </w:tc>
        <w:tc>
          <w:tcPr>
            <w:tcW w:type="dxa" w:w="2880"/>
          </w:tcPr>
          <w:p>
            <w:r/>
            <w:r>
              <w:rPr>
                <w:rFonts w:ascii="Times New Roman" w:hAnsi="Times New Roman" w:eastAsia="宋体"/>
                <w:b/>
                <w:i w:val="0"/>
                <w:sz w:val="20"/>
              </w:rPr>
              <w:t>rMAE</w:t>
            </w:r>
          </w:p>
        </w:tc>
      </w:tr>
      <w:tr>
        <w:tc>
          <w:tcPr>
            <w:tcW w:type="dxa" w:w="2880"/>
          </w:tcPr>
          <w:p>
            <w:r/>
            <w:r>
              <w:rPr>
                <w:rFonts w:ascii="Times New Roman" w:hAnsi="Times New Roman" w:eastAsia="宋体"/>
                <w:b w:val="0"/>
                <w:i w:val="0"/>
                <w:sz w:val="20"/>
              </w:rPr>
              <w:t>naive-day 昨日曲线</w:t>
            </w:r>
          </w:p>
        </w:tc>
        <w:tc>
          <w:tcPr>
            <w:tcW w:type="dxa" w:w="2880"/>
          </w:tcPr>
          <w:p>
            <w:r/>
            <w:r>
              <w:rPr>
                <w:rFonts w:ascii="Times New Roman" w:hAnsi="Times New Roman" w:eastAsia="宋体"/>
                <w:b w:val="0"/>
                <w:i w:val="0"/>
                <w:sz w:val="20"/>
              </w:rPr>
              <w:t>84.33</w:t>
            </w:r>
          </w:p>
        </w:tc>
        <w:tc>
          <w:tcPr>
            <w:tcW w:type="dxa" w:w="2880"/>
          </w:tcPr>
          <w:p>
            <w:r/>
            <w:r>
              <w:rPr>
                <w:rFonts w:ascii="Times New Roman" w:hAnsi="Times New Roman" w:eastAsia="宋体"/>
                <w:b w:val="0"/>
                <w:i w:val="0"/>
                <w:sz w:val="20"/>
              </w:rPr>
              <w:t>1.788</w:t>
            </w:r>
          </w:p>
        </w:tc>
      </w:tr>
      <w:tr>
        <w:tc>
          <w:tcPr>
            <w:tcW w:type="dxa" w:w="2880"/>
          </w:tcPr>
          <w:p>
            <w:r/>
            <w:r>
              <w:rPr>
                <w:rFonts w:ascii="Times New Roman" w:hAnsi="Times New Roman" w:eastAsia="宋体"/>
                <w:b w:val="0"/>
                <w:i w:val="0"/>
                <w:sz w:val="20"/>
              </w:rPr>
              <w:t>naive-week 上周同日（主锚）</w:t>
            </w:r>
          </w:p>
        </w:tc>
        <w:tc>
          <w:tcPr>
            <w:tcW w:type="dxa" w:w="2880"/>
          </w:tcPr>
          <w:p>
            <w:r/>
            <w:r>
              <w:rPr>
                <w:rFonts w:ascii="Times New Roman" w:hAnsi="Times New Roman" w:eastAsia="宋体"/>
                <w:b w:val="0"/>
                <w:i w:val="0"/>
                <w:sz w:val="20"/>
              </w:rPr>
              <w:t>47.15</w:t>
            </w:r>
          </w:p>
        </w:tc>
        <w:tc>
          <w:tcPr>
            <w:tcW w:type="dxa" w:w="2880"/>
          </w:tcPr>
          <w:p>
            <w:r/>
            <w:r>
              <w:rPr>
                <w:rFonts w:ascii="Times New Roman" w:hAnsi="Times New Roman" w:eastAsia="宋体"/>
                <w:b w:val="0"/>
                <w:i w:val="0"/>
                <w:sz w:val="20"/>
              </w:rPr>
              <w:t>1.000</w:t>
            </w:r>
          </w:p>
        </w:tc>
      </w:tr>
      <w:tr>
        <w:tc>
          <w:tcPr>
            <w:tcW w:type="dxa" w:w="2880"/>
          </w:tcPr>
          <w:p>
            <w:r/>
            <w:r>
              <w:rPr>
                <w:rFonts w:ascii="Times New Roman" w:hAnsi="Times New Roman" w:eastAsia="宋体"/>
                <w:b w:val="0"/>
                <w:i w:val="0"/>
                <w:sz w:val="20"/>
              </w:rPr>
              <w:t>固定形状×lag7（反例）</w:t>
            </w:r>
          </w:p>
        </w:tc>
        <w:tc>
          <w:tcPr>
            <w:tcW w:type="dxa" w:w="2880"/>
          </w:tcPr>
          <w:p>
            <w:r/>
            <w:r>
              <w:rPr>
                <w:rFonts w:ascii="Times New Roman" w:hAnsi="Times New Roman" w:eastAsia="宋体"/>
                <w:b w:val="0"/>
                <w:i w:val="0"/>
                <w:sz w:val="20"/>
              </w:rPr>
              <w:t>65.74</w:t>
            </w:r>
          </w:p>
        </w:tc>
        <w:tc>
          <w:tcPr>
            <w:tcW w:type="dxa" w:w="2880"/>
          </w:tcPr>
          <w:p>
            <w:r/>
            <w:r>
              <w:rPr>
                <w:rFonts w:ascii="Times New Roman" w:hAnsi="Times New Roman" w:eastAsia="宋体"/>
                <w:b w:val="0"/>
                <w:i w:val="0"/>
                <w:sz w:val="20"/>
              </w:rPr>
              <w:t>1.394</w:t>
            </w:r>
          </w:p>
        </w:tc>
      </w:tr>
      <w:tr>
        <w:tc>
          <w:tcPr>
            <w:tcW w:type="dxa" w:w="2880"/>
          </w:tcPr>
          <w:p>
            <w:r/>
            <w:r>
              <w:rPr>
                <w:rFonts w:ascii="Times New Roman" w:hAnsi="Times New Roman" w:eastAsia="宋体"/>
                <w:b w:val="0"/>
                <w:i w:val="0"/>
                <w:sz w:val="20"/>
              </w:rPr>
              <w:t>M1 周同类型日加权</w:t>
            </w:r>
          </w:p>
        </w:tc>
        <w:tc>
          <w:tcPr>
            <w:tcW w:type="dxa" w:w="2880"/>
          </w:tcPr>
          <w:p>
            <w:r/>
            <w:r>
              <w:rPr>
                <w:rFonts w:ascii="Times New Roman" w:hAnsi="Times New Roman" w:eastAsia="宋体"/>
                <w:b w:val="0"/>
                <w:i w:val="0"/>
                <w:sz w:val="20"/>
              </w:rPr>
              <w:t>44.72</w:t>
            </w:r>
          </w:p>
        </w:tc>
        <w:tc>
          <w:tcPr>
            <w:tcW w:type="dxa" w:w="2880"/>
          </w:tcPr>
          <w:p>
            <w:r/>
            <w:r>
              <w:rPr>
                <w:rFonts w:ascii="Times New Roman" w:hAnsi="Times New Roman" w:eastAsia="宋体"/>
                <w:b w:val="0"/>
                <w:i w:val="0"/>
                <w:sz w:val="20"/>
              </w:rPr>
              <w:t>0.948</w:t>
            </w:r>
          </w:p>
        </w:tc>
      </w:tr>
      <w:tr>
        <w:tc>
          <w:tcPr>
            <w:tcW w:type="dxa" w:w="2880"/>
          </w:tcPr>
          <w:p>
            <w:r/>
            <w:r>
              <w:rPr>
                <w:rFonts w:ascii="Times New Roman" w:hAnsi="Times New Roman" w:eastAsia="宋体"/>
                <w:b w:val="0"/>
                <w:i w:val="0"/>
                <w:sz w:val="20"/>
              </w:rPr>
              <w:t>M2 时变形状×水平</w:t>
            </w:r>
          </w:p>
        </w:tc>
        <w:tc>
          <w:tcPr>
            <w:tcW w:type="dxa" w:w="2880"/>
          </w:tcPr>
          <w:p>
            <w:r/>
            <w:r>
              <w:rPr>
                <w:rFonts w:ascii="Times New Roman" w:hAnsi="Times New Roman" w:eastAsia="宋体"/>
                <w:b w:val="0"/>
                <w:i w:val="0"/>
                <w:sz w:val="20"/>
              </w:rPr>
              <w:t>46.93</w:t>
            </w:r>
          </w:p>
        </w:tc>
        <w:tc>
          <w:tcPr>
            <w:tcW w:type="dxa" w:w="2880"/>
          </w:tcPr>
          <w:p>
            <w:r/>
            <w:r>
              <w:rPr>
                <w:rFonts w:ascii="Times New Roman" w:hAnsi="Times New Roman" w:eastAsia="宋体"/>
                <w:b w:val="0"/>
                <w:i w:val="0"/>
                <w:sz w:val="20"/>
              </w:rPr>
              <w:t>0.995</w:t>
            </w:r>
          </w:p>
        </w:tc>
      </w:tr>
      <w:tr>
        <w:tc>
          <w:tcPr>
            <w:tcW w:type="dxa" w:w="2880"/>
          </w:tcPr>
          <w:p>
            <w:r/>
            <w:r>
              <w:rPr>
                <w:rFonts w:ascii="Times New Roman" w:hAnsi="Times New Roman" w:eastAsia="宋体"/>
                <w:b w:val="0"/>
                <w:i w:val="0"/>
                <w:sz w:val="20"/>
              </w:rPr>
              <w:t>M3 电价 LightGBM</w:t>
            </w:r>
          </w:p>
        </w:tc>
        <w:tc>
          <w:tcPr>
            <w:tcW w:type="dxa" w:w="2880"/>
          </w:tcPr>
          <w:p>
            <w:r/>
            <w:r>
              <w:rPr>
                <w:rFonts w:ascii="Times New Roman" w:hAnsi="Times New Roman" w:eastAsia="宋体"/>
                <w:b w:val="0"/>
                <w:i w:val="0"/>
                <w:sz w:val="20"/>
              </w:rPr>
              <w:t>39.74</w:t>
            </w:r>
          </w:p>
        </w:tc>
        <w:tc>
          <w:tcPr>
            <w:tcW w:type="dxa" w:w="2880"/>
          </w:tcPr>
          <w:p>
            <w:r/>
            <w:r>
              <w:rPr>
                <w:rFonts w:ascii="Times New Roman" w:hAnsi="Times New Roman" w:eastAsia="宋体"/>
                <w:b w:val="0"/>
                <w:i w:val="0"/>
                <w:sz w:val="20"/>
              </w:rPr>
              <w:t>0.843</w:t>
            </w:r>
          </w:p>
        </w:tc>
      </w:tr>
      <w:tr>
        <w:tc>
          <w:tcPr>
            <w:tcW w:type="dxa" w:w="2880"/>
          </w:tcPr>
          <w:p>
            <w:r/>
            <w:r>
              <w:rPr>
                <w:rFonts w:ascii="Times New Roman" w:hAnsi="Times New Roman" w:eastAsia="宋体"/>
                <w:b w:val="0"/>
                <w:i w:val="0"/>
                <w:sz w:val="20"/>
              </w:rPr>
              <w:t>M4 相似日 kNN</w:t>
            </w:r>
          </w:p>
        </w:tc>
        <w:tc>
          <w:tcPr>
            <w:tcW w:type="dxa" w:w="2880"/>
          </w:tcPr>
          <w:p>
            <w:r/>
            <w:r>
              <w:rPr>
                <w:rFonts w:ascii="Times New Roman" w:hAnsi="Times New Roman" w:eastAsia="宋体"/>
                <w:b w:val="0"/>
                <w:i w:val="0"/>
                <w:sz w:val="20"/>
              </w:rPr>
              <w:t>45.40</w:t>
            </w:r>
          </w:p>
        </w:tc>
        <w:tc>
          <w:tcPr>
            <w:tcW w:type="dxa" w:w="2880"/>
          </w:tcPr>
          <w:p>
            <w:r/>
            <w:r>
              <w:rPr>
                <w:rFonts w:ascii="Times New Roman" w:hAnsi="Times New Roman" w:eastAsia="宋体"/>
                <w:b w:val="0"/>
                <w:i w:val="0"/>
                <w:sz w:val="20"/>
              </w:rPr>
              <w:t>0.963</w:t>
            </w:r>
          </w:p>
        </w:tc>
      </w:tr>
      <w:tr>
        <w:tc>
          <w:tcPr>
            <w:tcW w:type="dxa" w:w="2880"/>
          </w:tcPr>
          <w:p>
            <w:r/>
            <w:r>
              <w:rPr>
                <w:rFonts w:ascii="Times New Roman" w:hAnsi="Times New Roman" w:eastAsia="宋体"/>
                <w:b w:val="0"/>
                <w:i w:val="0"/>
                <w:sz w:val="20"/>
              </w:rPr>
              <w:t>**EGD 集成（采用）**</w:t>
            </w:r>
          </w:p>
        </w:tc>
        <w:tc>
          <w:tcPr>
            <w:tcW w:type="dxa" w:w="2880"/>
          </w:tcPr>
          <w:p>
            <w:r/>
            <w:r>
              <w:rPr>
                <w:rFonts w:ascii="Times New Roman" w:hAnsi="Times New Roman" w:eastAsia="宋体"/>
                <w:b w:val="0"/>
                <w:i w:val="0"/>
                <w:sz w:val="20"/>
              </w:rPr>
              <w:t>**42.01**</w:t>
            </w:r>
          </w:p>
        </w:tc>
        <w:tc>
          <w:tcPr>
            <w:tcW w:type="dxa" w:w="2880"/>
          </w:tcPr>
          <w:p>
            <w:r/>
            <w:r>
              <w:rPr>
                <w:rFonts w:ascii="Times New Roman" w:hAnsi="Times New Roman" w:eastAsia="宋体"/>
                <w:b w:val="0"/>
                <w:i w:val="0"/>
                <w:sz w:val="20"/>
              </w:rPr>
              <w:t>**0.891**</w:t>
            </w:r>
          </w:p>
        </w:tc>
      </w:tr>
    </w:tbl>
    <w:p>
      <w:pPr>
        <w:spacing w:after="40"/>
      </w:pPr>
    </w:p>
    <w:p>
      <w:r>
        <w:rPr>
          <w:rFonts w:ascii="Times New Roman" w:hAnsi="Times New Roman" w:eastAsia="宋体"/>
          <w:b w:val="0"/>
          <w:i w:val="0"/>
          <w:sz w:val="22"/>
        </w:rPr>
        <w:t>分星期类型 EGD 全部占优；</w:t>
      </w:r>
      <w:r>
        <w:rPr>
          <w:rFonts w:ascii="Times New Roman" w:hAnsi="Times New Roman" w:eastAsia="宋体"/>
          <w:b/>
          <w:i w:val="0"/>
          <w:sz w:val="22"/>
        </w:rPr>
        <w:t>每月前 5 天 57.94 对 65.31（−11.3%）、其余天 38.87 对 43.57</w:t>
      </w:r>
      <w:r>
        <w:rPr>
          <w:rFonts w:ascii="Times New Roman" w:hAnsi="Times New Roman" w:eastAsia="宋体"/>
          <w:b w:val="0"/>
          <w:i w:val="0"/>
          <w:sz w:val="22"/>
        </w:rPr>
        <w:t>，说明抗月初跳变设计命中。Wilcoxon 单尾检验统计量 6580、p=4.5×10^(-34)，日胜率 291/334=87.1%，改进高度显著。</w:t>
      </w:r>
    </w:p>
    <w:p>
      <w:pPr>
        <w:pStyle w:val="Heading3"/>
      </w:pPr>
      <w:r>
        <w:rPr>
          <w:rFonts w:ascii="Times New Roman" w:hAnsi="Times New Roman" w:eastAsia="黑体"/>
          <w:color w:val="000000"/>
        </w:rPr>
        <w:t>5.3 消融实验</w:t>
      </w:r>
    </w:p>
    <w:p>
      <w:r>
        <w:rPr>
          <w:rFonts w:ascii="Times New Roman" w:hAnsi="Times New Roman" w:eastAsia="宋体"/>
          <w:b/>
          <w:i w:val="0"/>
          <w:sz w:val="22"/>
        </w:rPr>
        <w:t>外生变量消融（决定不引入负载/光伏）。</w:t>
      </w:r>
      <w:r>
        <w:rPr>
          <w:rFonts w:ascii="Times New Roman" w:hAnsi="Times New Roman" w:eastAsia="宋体"/>
          <w:b w:val="0"/>
          <w:i w:val="0"/>
          <w:sz w:val="22"/>
        </w:rPr>
        <w:t xml:space="preserve"> 供需驱动电价，文献常以负荷、新能源为特征，但 0:00 时它们本身也是带误差的预测值。在训练/部署一致地加入日前负载、光伏预测特征后，LightGBM 的 MAE 由 39.23×10⁻³ 反升到 39.53×10⁻³（变差 0.77%）。原因是电价的强周记忆已镜像供需周期（负载滞后 7 天自相关 0.971），再喂入带误差的外生预测只会传染其噪声，故最终采用纯电价自包含方案，模块也更解耦。此外，固定形状反例、独立日内模型反例（4.4 节）共同构成完整的"反向消融"。</w:t>
      </w:r>
    </w:p>
    <w:p>
      <w:pPr>
        <w:pStyle w:val="Heading3"/>
      </w:pPr>
      <w:r>
        <w:rPr>
          <w:rFonts w:ascii="Times New Roman" w:hAnsi="Times New Roman" w:eastAsia="黑体"/>
          <w:color w:val="000000"/>
        </w:rPr>
        <w:t>5.4 过拟合与稳健性检验（五项）</w:t>
      </w:r>
    </w:p>
    <w:p>
      <w:r>
        <w:rPr>
          <w:rFonts w:ascii="Times New Roman" w:hAnsi="Times New Roman" w:eastAsia="宋体"/>
          <w:b w:val="0"/>
          <w:i w:val="0"/>
          <w:sz w:val="22"/>
        </w:rPr>
        <w:t>针对树模型与在线集成可能的过拟合/调参窥探，做五项检验（`overfitcheck.py`，表 2—表 4）。</w:t>
      </w:r>
    </w:p>
    <w:p>
      <w:r>
        <w:rPr>
          <w:rFonts w:ascii="Times New Roman" w:hAnsi="Times New Roman" w:eastAsia="宋体"/>
          <w:b/>
          <w:i w:val="0"/>
          <w:sz w:val="22"/>
        </w:rPr>
        <w:t>(1) 训练—样本外误差差与树复杂度。</w:t>
      </w:r>
      <w:r>
        <w:rPr>
          <w:rFonts w:ascii="Times New Roman" w:hAnsi="Times New Roman" w:eastAsia="宋体"/>
          <w:b w:val="0"/>
          <w:i w:val="0"/>
          <w:sz w:val="22"/>
        </w:rPr>
        <w:t xml:space="preserve"> 固定其余参数、只改树复杂度，结果见表 2：训练误差随复杂度单调下降（29.3→18.6），但样本外误差在浅模型处即达最优、越深反而越差（39.22→39.75），训练—样本外差（gap）由 9.96 扩大到 21.18——这正是过拟合的典型信号。本文主配（31 叶）样本外 39.23，与最浅模型 39.22 几乎持平，落在</w:t>
      </w:r>
      <w:r>
        <w:rPr>
          <w:rFonts w:ascii="Times New Roman" w:hAnsi="Times New Roman" w:eastAsia="宋体"/>
          <w:b/>
          <w:i w:val="0"/>
          <w:sz w:val="22"/>
        </w:rPr>
        <w:t>平坦最优区</w:t>
      </w:r>
      <w:r>
        <w:rPr>
          <w:rFonts w:ascii="Times New Roman" w:hAnsi="Times New Roman" w:eastAsia="宋体"/>
          <w:b w:val="0"/>
          <w:i w:val="0"/>
          <w:sz w:val="22"/>
        </w:rPr>
        <w:t>，主动避开了高复杂度过拟合区。</w:t>
      </w:r>
    </w:p>
    <w:p>
      <w:r>
        <w:rPr>
          <w:rFonts w:ascii="Times New Roman" w:hAnsi="Times New Roman" w:eastAsia="宋体"/>
          <w:b/>
          <w:i w:val="0"/>
          <w:sz w:val="22"/>
        </w:rPr>
        <w:t>表 2　LightGBM 复杂度—训练/样本外误差（MAE×10³）</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宋体"/>
                <w:b/>
                <w:i w:val="0"/>
                <w:sz w:val="20"/>
              </w:rPr>
              <w:t>配置</w:t>
            </w:r>
          </w:p>
        </w:tc>
        <w:tc>
          <w:tcPr>
            <w:tcW w:type="dxa" w:w="2160"/>
          </w:tcPr>
          <w:p>
            <w:r/>
            <w:r>
              <w:rPr>
                <w:rFonts w:ascii="Times New Roman" w:hAnsi="Times New Roman" w:eastAsia="宋体"/>
                <w:b/>
                <w:i w:val="0"/>
                <w:sz w:val="20"/>
              </w:rPr>
              <w:t>训练 MAE</w:t>
            </w:r>
          </w:p>
        </w:tc>
        <w:tc>
          <w:tcPr>
            <w:tcW w:type="dxa" w:w="2160"/>
          </w:tcPr>
          <w:p>
            <w:r/>
            <w:r>
              <w:rPr>
                <w:rFonts w:ascii="Times New Roman" w:hAnsi="Times New Roman" w:eastAsia="宋体"/>
                <w:b/>
                <w:i w:val="0"/>
                <w:sz w:val="20"/>
              </w:rPr>
              <w:t>样本外 MAE</w:t>
            </w:r>
          </w:p>
        </w:tc>
        <w:tc>
          <w:tcPr>
            <w:tcW w:type="dxa" w:w="2160"/>
          </w:tcPr>
          <w:p>
            <w:r/>
            <w:r>
              <w:rPr>
                <w:rFonts w:ascii="Times New Roman" w:hAnsi="Times New Roman" w:eastAsia="宋体"/>
                <w:b/>
                <w:i w:val="0"/>
                <w:sz w:val="20"/>
              </w:rPr>
              <w:t>gap</w:t>
            </w:r>
          </w:p>
        </w:tc>
      </w:tr>
      <w:tr>
        <w:tc>
          <w:tcPr>
            <w:tcW w:type="dxa" w:w="2160"/>
          </w:tcPr>
          <w:p>
            <w:r/>
            <w:r>
              <w:rPr>
                <w:rFonts w:ascii="Times New Roman" w:hAnsi="Times New Roman" w:eastAsia="宋体"/>
                <w:b w:val="0"/>
                <w:i w:val="0"/>
                <w:sz w:val="20"/>
              </w:rPr>
              <w:t>浅（15 叶,minchild80）</w:t>
            </w:r>
          </w:p>
        </w:tc>
        <w:tc>
          <w:tcPr>
            <w:tcW w:type="dxa" w:w="2160"/>
          </w:tcPr>
          <w:p>
            <w:r/>
            <w:r>
              <w:rPr>
                <w:rFonts w:ascii="Times New Roman" w:hAnsi="Times New Roman" w:eastAsia="宋体"/>
                <w:b w:val="0"/>
                <w:i w:val="0"/>
                <w:sz w:val="20"/>
              </w:rPr>
              <w:t>29.26</w:t>
            </w:r>
          </w:p>
        </w:tc>
        <w:tc>
          <w:tcPr>
            <w:tcW w:type="dxa" w:w="2160"/>
          </w:tcPr>
          <w:p>
            <w:r/>
            <w:r>
              <w:rPr>
                <w:rFonts w:ascii="Times New Roman" w:hAnsi="Times New Roman" w:eastAsia="宋体"/>
                <w:b w:val="0"/>
                <w:i w:val="0"/>
                <w:sz w:val="20"/>
              </w:rPr>
              <w:t>**39.22**</w:t>
            </w:r>
          </w:p>
        </w:tc>
        <w:tc>
          <w:tcPr>
            <w:tcW w:type="dxa" w:w="2160"/>
          </w:tcPr>
          <w:p>
            <w:r/>
            <w:r>
              <w:rPr>
                <w:rFonts w:ascii="Times New Roman" w:hAnsi="Times New Roman" w:eastAsia="宋体"/>
                <w:b w:val="0"/>
                <w:i w:val="0"/>
                <w:sz w:val="20"/>
              </w:rPr>
              <w:t>9.96</w:t>
            </w:r>
          </w:p>
        </w:tc>
      </w:tr>
      <w:tr>
        <w:tc>
          <w:tcPr>
            <w:tcW w:type="dxa" w:w="2160"/>
          </w:tcPr>
          <w:p>
            <w:r/>
            <w:r>
              <w:rPr>
                <w:rFonts w:ascii="Times New Roman" w:hAnsi="Times New Roman" w:eastAsia="宋体"/>
                <w:b w:val="0"/>
                <w:i w:val="0"/>
                <w:sz w:val="20"/>
              </w:rPr>
              <w:t>主配（31 叶,minchild40，采用）</w:t>
            </w:r>
          </w:p>
        </w:tc>
        <w:tc>
          <w:tcPr>
            <w:tcW w:type="dxa" w:w="2160"/>
          </w:tcPr>
          <w:p>
            <w:r/>
            <w:r>
              <w:rPr>
                <w:rFonts w:ascii="Times New Roman" w:hAnsi="Times New Roman" w:eastAsia="宋体"/>
                <w:b w:val="0"/>
                <w:i w:val="0"/>
                <w:sz w:val="20"/>
              </w:rPr>
              <w:t>27.21</w:t>
            </w:r>
          </w:p>
        </w:tc>
        <w:tc>
          <w:tcPr>
            <w:tcW w:type="dxa" w:w="2160"/>
          </w:tcPr>
          <w:p>
            <w:r/>
            <w:r>
              <w:rPr>
                <w:rFonts w:ascii="Times New Roman" w:hAnsi="Times New Roman" w:eastAsia="宋体"/>
                <w:b w:val="0"/>
                <w:i w:val="0"/>
                <w:sz w:val="20"/>
              </w:rPr>
              <w:t>39.23</w:t>
            </w:r>
          </w:p>
        </w:tc>
        <w:tc>
          <w:tcPr>
            <w:tcW w:type="dxa" w:w="2160"/>
          </w:tcPr>
          <w:p>
            <w:r/>
            <w:r>
              <w:rPr>
                <w:rFonts w:ascii="Times New Roman" w:hAnsi="Times New Roman" w:eastAsia="宋体"/>
                <w:b w:val="0"/>
                <w:i w:val="0"/>
                <w:sz w:val="20"/>
              </w:rPr>
              <w:t>12.03</w:t>
            </w:r>
          </w:p>
        </w:tc>
      </w:tr>
      <w:tr>
        <w:tc>
          <w:tcPr>
            <w:tcW w:type="dxa" w:w="2160"/>
          </w:tcPr>
          <w:p>
            <w:r/>
            <w:r>
              <w:rPr>
                <w:rFonts w:ascii="Times New Roman" w:hAnsi="Times New Roman" w:eastAsia="宋体"/>
                <w:b w:val="0"/>
                <w:i w:val="0"/>
                <w:sz w:val="20"/>
              </w:rPr>
              <w:t>深（63 叶,minchild20）</w:t>
            </w:r>
          </w:p>
        </w:tc>
        <w:tc>
          <w:tcPr>
            <w:tcW w:type="dxa" w:w="2160"/>
          </w:tcPr>
          <w:p>
            <w:r/>
            <w:r>
              <w:rPr>
                <w:rFonts w:ascii="Times New Roman" w:hAnsi="Times New Roman" w:eastAsia="宋体"/>
                <w:b w:val="0"/>
                <w:i w:val="0"/>
                <w:sz w:val="20"/>
              </w:rPr>
              <w:t>25.44</w:t>
            </w:r>
          </w:p>
        </w:tc>
        <w:tc>
          <w:tcPr>
            <w:tcW w:type="dxa" w:w="2160"/>
          </w:tcPr>
          <w:p>
            <w:r/>
            <w:r>
              <w:rPr>
                <w:rFonts w:ascii="Times New Roman" w:hAnsi="Times New Roman" w:eastAsia="宋体"/>
                <w:b w:val="0"/>
                <w:i w:val="0"/>
                <w:sz w:val="20"/>
              </w:rPr>
              <w:t>39.61</w:t>
            </w:r>
          </w:p>
        </w:tc>
        <w:tc>
          <w:tcPr>
            <w:tcW w:type="dxa" w:w="2160"/>
          </w:tcPr>
          <w:p>
            <w:r/>
            <w:r>
              <w:rPr>
                <w:rFonts w:ascii="Times New Roman" w:hAnsi="Times New Roman" w:eastAsia="宋体"/>
                <w:b w:val="0"/>
                <w:i w:val="0"/>
                <w:sz w:val="20"/>
              </w:rPr>
              <w:t>14.17</w:t>
            </w:r>
          </w:p>
        </w:tc>
      </w:tr>
      <w:tr>
        <w:tc>
          <w:tcPr>
            <w:tcW w:type="dxa" w:w="2160"/>
          </w:tcPr>
          <w:p>
            <w:r/>
            <w:r>
              <w:rPr>
                <w:rFonts w:ascii="Times New Roman" w:hAnsi="Times New Roman" w:eastAsia="宋体"/>
                <w:b w:val="0"/>
                <w:i w:val="0"/>
                <w:sz w:val="20"/>
              </w:rPr>
              <w:t>深且无正则</w:t>
            </w:r>
          </w:p>
        </w:tc>
        <w:tc>
          <w:tcPr>
            <w:tcW w:type="dxa" w:w="2160"/>
          </w:tcPr>
          <w:p>
            <w:r/>
            <w:r>
              <w:rPr>
                <w:rFonts w:ascii="Times New Roman" w:hAnsi="Times New Roman" w:eastAsia="宋体"/>
                <w:b w:val="0"/>
                <w:i w:val="0"/>
                <w:sz w:val="20"/>
              </w:rPr>
              <w:t>18.57</w:t>
            </w:r>
          </w:p>
        </w:tc>
        <w:tc>
          <w:tcPr>
            <w:tcW w:type="dxa" w:w="2160"/>
          </w:tcPr>
          <w:p>
            <w:r/>
            <w:r>
              <w:rPr>
                <w:rFonts w:ascii="Times New Roman" w:hAnsi="Times New Roman" w:eastAsia="宋体"/>
                <w:b w:val="0"/>
                <w:i w:val="0"/>
                <w:sz w:val="20"/>
              </w:rPr>
              <w:t>39.75</w:t>
            </w:r>
          </w:p>
        </w:tc>
        <w:tc>
          <w:tcPr>
            <w:tcW w:type="dxa" w:w="2160"/>
          </w:tcPr>
          <w:p>
            <w:r/>
            <w:r>
              <w:rPr>
                <w:rFonts w:ascii="Times New Roman" w:hAnsi="Times New Roman" w:eastAsia="宋体"/>
                <w:b w:val="0"/>
                <w:i w:val="0"/>
                <w:sz w:val="20"/>
              </w:rPr>
              <w:t>21.18</w:t>
            </w:r>
          </w:p>
        </w:tc>
      </w:tr>
    </w:tbl>
    <w:p>
      <w:pPr>
        <w:spacing w:after="40"/>
      </w:pPr>
    </w:p>
    <w:p>
      <w:r>
        <w:rPr>
          <w:rFonts w:ascii="Times New Roman" w:hAnsi="Times New Roman" w:eastAsia="宋体"/>
          <w:b/>
          <w:i w:val="0"/>
          <w:sz w:val="22"/>
        </w:rPr>
        <w:t>(2) 学习曲线。</w:t>
      </w:r>
      <w:r>
        <w:rPr>
          <w:rFonts w:ascii="Times New Roman" w:hAnsi="Times New Roman" w:eastAsia="宋体"/>
          <w:b w:val="0"/>
          <w:i w:val="0"/>
          <w:sz w:val="22"/>
        </w:rPr>
        <w:t xml:space="preserve"> 按评估期先后四段（训练样本逐段增多）统计主配样本外 MAE 为 37.4/42.8/40.8/36.0，末段（可用历史最多）最低、全程无随样本增多而恶化的反弹，泛化随数据量改善并趋稳。</w:t>
      </w:r>
    </w:p>
    <w:p>
      <w:r>
        <w:rPr>
          <w:rFonts w:ascii="Times New Roman" w:hAnsi="Times New Roman" w:eastAsia="宋体"/>
          <w:b/>
          <w:i w:val="0"/>
          <w:sz w:val="22"/>
        </w:rPr>
        <w:t>(3) 集成学习率的前/后半段检验（防在评估集调参）。</w:t>
      </w:r>
      <w:r>
        <w:rPr>
          <w:rFonts w:ascii="Times New Roman" w:hAnsi="Times New Roman" w:eastAsia="宋体"/>
          <w:b w:val="0"/>
          <w:i w:val="0"/>
          <w:sz w:val="22"/>
        </w:rPr>
        <w:t xml:space="preserve"> 只用前半段（2—7 月）选择 EGD 学习率，再到后半段（8—12 月）纯样本外检验，结果见表 3。η 在 0.02—0.40 的宽邻域内，后半段样本外 MAE 为 38.17—42.21，</w:t>
      </w:r>
      <w:r>
        <w:rPr>
          <w:rFonts w:ascii="Times New Roman" w:hAnsi="Times New Roman" w:eastAsia="宋体"/>
          <w:b/>
          <w:i w:val="0"/>
          <w:sz w:val="22"/>
        </w:rPr>
        <w:t>全部远低于 naive-week 后半段的 46.25</w:t>
      </w:r>
      <w:r>
        <w:rPr>
          <w:rFonts w:ascii="Times New Roman" w:hAnsi="Times New Roman" w:eastAsia="宋体"/>
          <w:b w:val="0"/>
          <w:i w:val="0"/>
          <w:sz w:val="22"/>
        </w:rPr>
        <w:t>；即便前段选出激进口径，后段仍占优 17.5%。说明"集成显著优于基线"的结论不依赖对 η 的精细调节。本文取温和的 η=0.10 是为保留约 10% 的统计成员兜底、维持集成结构的可辩护性，而非追求测试集上的最低值。</w:t>
      </w:r>
    </w:p>
    <w:p>
      <w:r>
        <w:rPr>
          <w:rFonts w:ascii="Times New Roman" w:hAnsi="Times New Roman" w:eastAsia="宋体"/>
          <w:b/>
          <w:i w:val="0"/>
          <w:sz w:val="22"/>
        </w:rPr>
        <w:t>表 3　EGD 学习率前/后半段样本外 MAE×10³</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宋体"/>
                <w:b/>
                <w:i w:val="0"/>
                <w:sz w:val="20"/>
              </w:rPr>
              <w:t>η</w:t>
            </w:r>
          </w:p>
        </w:tc>
        <w:tc>
          <w:tcPr>
            <w:tcW w:type="dxa" w:w="2160"/>
          </w:tcPr>
          <w:p>
            <w:r/>
            <w:r>
              <w:rPr>
                <w:rFonts w:ascii="Times New Roman" w:hAnsi="Times New Roman" w:eastAsia="宋体"/>
                <w:b/>
                <w:i w:val="0"/>
                <w:sz w:val="20"/>
              </w:rPr>
              <w:t>前段</w:t>
            </w:r>
          </w:p>
        </w:tc>
        <w:tc>
          <w:tcPr>
            <w:tcW w:type="dxa" w:w="2160"/>
          </w:tcPr>
          <w:p>
            <w:r/>
            <w:r>
              <w:rPr>
                <w:rFonts w:ascii="Times New Roman" w:hAnsi="Times New Roman" w:eastAsia="宋体"/>
                <w:b/>
                <w:i w:val="0"/>
                <w:sz w:val="20"/>
              </w:rPr>
              <w:t>后段</w:t>
            </w:r>
          </w:p>
        </w:tc>
        <w:tc>
          <w:tcPr>
            <w:tcW w:type="dxa" w:w="2160"/>
          </w:tcPr>
          <w:p>
            <w:r/>
            <w:r>
              <w:rPr>
                <w:rFonts w:ascii="Times New Roman" w:hAnsi="Times New Roman" w:eastAsia="宋体"/>
                <w:b/>
                <w:i w:val="0"/>
                <w:sz w:val="20"/>
              </w:rPr>
              <w:t>全段</w:t>
            </w:r>
          </w:p>
        </w:tc>
      </w:tr>
      <w:tr>
        <w:tc>
          <w:tcPr>
            <w:tcW w:type="dxa" w:w="2160"/>
          </w:tcPr>
          <w:p>
            <w:r/>
            <w:r>
              <w:rPr>
                <w:rFonts w:ascii="Times New Roman" w:hAnsi="Times New Roman" w:eastAsia="宋体"/>
                <w:b w:val="0"/>
                <w:i w:val="0"/>
                <w:sz w:val="20"/>
              </w:rPr>
              <w:t>0.02</w:t>
            </w:r>
          </w:p>
        </w:tc>
        <w:tc>
          <w:tcPr>
            <w:tcW w:type="dxa" w:w="2160"/>
          </w:tcPr>
          <w:p>
            <w:r/>
            <w:r>
              <w:rPr>
                <w:rFonts w:ascii="Times New Roman" w:hAnsi="Times New Roman" w:eastAsia="宋体"/>
                <w:b w:val="0"/>
                <w:i w:val="0"/>
                <w:sz w:val="20"/>
              </w:rPr>
              <w:t>44.38</w:t>
            </w:r>
          </w:p>
        </w:tc>
        <w:tc>
          <w:tcPr>
            <w:tcW w:type="dxa" w:w="2160"/>
          </w:tcPr>
          <w:p>
            <w:r/>
            <w:r>
              <w:rPr>
                <w:rFonts w:ascii="Times New Roman" w:hAnsi="Times New Roman" w:eastAsia="宋体"/>
                <w:b w:val="0"/>
                <w:i w:val="0"/>
                <w:sz w:val="20"/>
              </w:rPr>
              <w:t>42.21</w:t>
            </w:r>
          </w:p>
        </w:tc>
        <w:tc>
          <w:tcPr>
            <w:tcW w:type="dxa" w:w="2160"/>
          </w:tcPr>
          <w:p>
            <w:r/>
            <w:r>
              <w:rPr>
                <w:rFonts w:ascii="Times New Roman" w:hAnsi="Times New Roman" w:eastAsia="宋体"/>
                <w:b w:val="0"/>
                <w:i w:val="0"/>
                <w:sz w:val="20"/>
              </w:rPr>
              <w:t>43.29</w:t>
            </w:r>
          </w:p>
        </w:tc>
      </w:tr>
      <w:tr>
        <w:tc>
          <w:tcPr>
            <w:tcW w:type="dxa" w:w="2160"/>
          </w:tcPr>
          <w:p>
            <w:r/>
            <w:r>
              <w:rPr>
                <w:rFonts w:ascii="Times New Roman" w:hAnsi="Times New Roman" w:eastAsia="宋体"/>
                <w:b w:val="0"/>
                <w:i w:val="0"/>
                <w:sz w:val="20"/>
              </w:rPr>
              <w:t>0.05</w:t>
            </w:r>
          </w:p>
        </w:tc>
        <w:tc>
          <w:tcPr>
            <w:tcW w:type="dxa" w:w="2160"/>
          </w:tcPr>
          <w:p>
            <w:r/>
            <w:r>
              <w:rPr>
                <w:rFonts w:ascii="Times New Roman" w:hAnsi="Times New Roman" w:eastAsia="宋体"/>
                <w:b w:val="0"/>
                <w:i w:val="0"/>
                <w:sz w:val="20"/>
              </w:rPr>
              <w:t>44.20</w:t>
            </w:r>
          </w:p>
        </w:tc>
        <w:tc>
          <w:tcPr>
            <w:tcW w:type="dxa" w:w="2160"/>
          </w:tcPr>
          <w:p>
            <w:r/>
            <w:r>
              <w:rPr>
                <w:rFonts w:ascii="Times New Roman" w:hAnsi="Times New Roman" w:eastAsia="宋体"/>
                <w:b w:val="0"/>
                <w:i w:val="0"/>
                <w:sz w:val="20"/>
              </w:rPr>
              <w:t>41.48</w:t>
            </w:r>
          </w:p>
        </w:tc>
        <w:tc>
          <w:tcPr>
            <w:tcW w:type="dxa" w:w="2160"/>
          </w:tcPr>
          <w:p>
            <w:r/>
            <w:r>
              <w:rPr>
                <w:rFonts w:ascii="Times New Roman" w:hAnsi="Times New Roman" w:eastAsia="宋体"/>
                <w:b w:val="0"/>
                <w:i w:val="0"/>
                <w:sz w:val="20"/>
              </w:rPr>
              <w:t>42.84</w:t>
            </w:r>
          </w:p>
        </w:tc>
      </w:tr>
      <w:tr>
        <w:tc>
          <w:tcPr>
            <w:tcW w:type="dxa" w:w="2160"/>
          </w:tcPr>
          <w:p>
            <w:r/>
            <w:r>
              <w:rPr>
                <w:rFonts w:ascii="Times New Roman" w:hAnsi="Times New Roman" w:eastAsia="宋体"/>
                <w:b w:val="0"/>
                <w:i w:val="0"/>
                <w:sz w:val="20"/>
              </w:rPr>
              <w:t>**0.10（采用）**</w:t>
            </w:r>
          </w:p>
        </w:tc>
        <w:tc>
          <w:tcPr>
            <w:tcW w:type="dxa" w:w="2160"/>
          </w:tcPr>
          <w:p>
            <w:r/>
            <w:r>
              <w:rPr>
                <w:rFonts w:ascii="Times New Roman" w:hAnsi="Times New Roman" w:eastAsia="宋体"/>
                <w:b w:val="0"/>
                <w:i w:val="0"/>
                <w:sz w:val="20"/>
              </w:rPr>
              <w:t>43.87</w:t>
            </w:r>
          </w:p>
        </w:tc>
        <w:tc>
          <w:tcPr>
            <w:tcW w:type="dxa" w:w="2160"/>
          </w:tcPr>
          <w:p>
            <w:r/>
            <w:r>
              <w:rPr>
                <w:rFonts w:ascii="Times New Roman" w:hAnsi="Times New Roman" w:eastAsia="宋体"/>
                <w:b w:val="0"/>
                <w:i w:val="0"/>
                <w:sz w:val="20"/>
              </w:rPr>
              <w:t>40.14</w:t>
            </w:r>
          </w:p>
        </w:tc>
        <w:tc>
          <w:tcPr>
            <w:tcW w:type="dxa" w:w="2160"/>
          </w:tcPr>
          <w:p>
            <w:r/>
            <w:r>
              <w:rPr>
                <w:rFonts w:ascii="Times New Roman" w:hAnsi="Times New Roman" w:eastAsia="宋体"/>
                <w:b w:val="0"/>
                <w:i w:val="0"/>
                <w:sz w:val="20"/>
              </w:rPr>
              <w:t>42.01</w:t>
            </w:r>
          </w:p>
        </w:tc>
      </w:tr>
      <w:tr>
        <w:tc>
          <w:tcPr>
            <w:tcW w:type="dxa" w:w="2160"/>
          </w:tcPr>
          <w:p>
            <w:r/>
            <w:r>
              <w:rPr>
                <w:rFonts w:ascii="Times New Roman" w:hAnsi="Times New Roman" w:eastAsia="宋体"/>
                <w:b w:val="0"/>
                <w:i w:val="0"/>
                <w:sz w:val="20"/>
              </w:rPr>
              <w:t>0.20</w:t>
            </w:r>
          </w:p>
        </w:tc>
        <w:tc>
          <w:tcPr>
            <w:tcW w:type="dxa" w:w="2160"/>
          </w:tcPr>
          <w:p>
            <w:r/>
            <w:r>
              <w:rPr>
                <w:rFonts w:ascii="Times New Roman" w:hAnsi="Times New Roman" w:eastAsia="宋体"/>
                <w:b w:val="0"/>
                <w:i w:val="0"/>
                <w:sz w:val="20"/>
              </w:rPr>
              <w:t>43.13</w:t>
            </w:r>
          </w:p>
        </w:tc>
        <w:tc>
          <w:tcPr>
            <w:tcW w:type="dxa" w:w="2160"/>
          </w:tcPr>
          <w:p>
            <w:r/>
            <w:r>
              <w:rPr>
                <w:rFonts w:ascii="Times New Roman" w:hAnsi="Times New Roman" w:eastAsia="宋体"/>
                <w:b w:val="0"/>
                <w:i w:val="0"/>
                <w:sz w:val="20"/>
              </w:rPr>
              <w:t>38.54</w:t>
            </w:r>
          </w:p>
        </w:tc>
        <w:tc>
          <w:tcPr>
            <w:tcW w:type="dxa" w:w="2160"/>
          </w:tcPr>
          <w:p>
            <w:r/>
            <w:r>
              <w:rPr>
                <w:rFonts w:ascii="Times New Roman" w:hAnsi="Times New Roman" w:eastAsia="宋体"/>
                <w:b w:val="0"/>
                <w:i w:val="0"/>
                <w:sz w:val="20"/>
              </w:rPr>
              <w:t>40.83</w:t>
            </w:r>
          </w:p>
        </w:tc>
      </w:tr>
      <w:tr>
        <w:tc>
          <w:tcPr>
            <w:tcW w:type="dxa" w:w="2160"/>
          </w:tcPr>
          <w:p>
            <w:r/>
            <w:r>
              <w:rPr>
                <w:rFonts w:ascii="Times New Roman" w:hAnsi="Times New Roman" w:eastAsia="宋体"/>
                <w:b w:val="0"/>
                <w:i w:val="0"/>
                <w:sz w:val="20"/>
              </w:rPr>
              <w:t>0.40</w:t>
            </w:r>
          </w:p>
        </w:tc>
        <w:tc>
          <w:tcPr>
            <w:tcW w:type="dxa" w:w="2160"/>
          </w:tcPr>
          <w:p>
            <w:r/>
            <w:r>
              <w:rPr>
                <w:rFonts w:ascii="Times New Roman" w:hAnsi="Times New Roman" w:eastAsia="宋体"/>
                <w:b w:val="0"/>
                <w:i w:val="0"/>
                <w:sz w:val="20"/>
              </w:rPr>
              <w:t>42.02</w:t>
            </w:r>
          </w:p>
        </w:tc>
        <w:tc>
          <w:tcPr>
            <w:tcW w:type="dxa" w:w="2160"/>
          </w:tcPr>
          <w:p>
            <w:r/>
            <w:r>
              <w:rPr>
                <w:rFonts w:ascii="Times New Roman" w:hAnsi="Times New Roman" w:eastAsia="宋体"/>
                <w:b w:val="0"/>
                <w:i w:val="0"/>
                <w:sz w:val="20"/>
              </w:rPr>
              <w:t>38.17</w:t>
            </w:r>
          </w:p>
        </w:tc>
        <w:tc>
          <w:tcPr>
            <w:tcW w:type="dxa" w:w="2160"/>
          </w:tcPr>
          <w:p>
            <w:r/>
            <w:r>
              <w:rPr>
                <w:rFonts w:ascii="Times New Roman" w:hAnsi="Times New Roman" w:eastAsia="宋体"/>
                <w:b w:val="0"/>
                <w:i w:val="0"/>
                <w:sz w:val="20"/>
              </w:rPr>
              <w:t>40.09</w:t>
            </w:r>
          </w:p>
        </w:tc>
      </w:tr>
    </w:tbl>
    <w:p>
      <w:pPr>
        <w:spacing w:after="40"/>
      </w:pPr>
    </w:p>
    <w:p>
      <w:r>
        <w:rPr>
          <w:rFonts w:ascii="Times New Roman" w:hAnsi="Times New Roman" w:eastAsia="宋体"/>
          <w:b/>
          <w:i w:val="0"/>
          <w:sz w:val="22"/>
        </w:rPr>
        <w:t>(4) 分月时间外推稳定性。</w:t>
      </w:r>
      <w:r>
        <w:rPr>
          <w:rFonts w:ascii="Times New Roman" w:hAnsi="Times New Roman" w:eastAsia="宋体"/>
          <w:b w:val="0"/>
          <w:i w:val="0"/>
          <w:sz w:val="22"/>
        </w:rPr>
        <w:t xml:space="preserve"> 表 4 显示，11 个月中有 10 个月 EGD 的 rMAE&lt;1（0.79—0.92 稳定占优）；唯一例外是评估期首月 2 月（rMAE=1.123），此时紧邻 1 月冷启动、训练样本最少、在线权重尚在收敛，自 3 月起即逐月稳定占优。弱势区间可由"样本量不足"解释，进一步佐证模型靠的是可泛化结构而非个别月份。</w:t>
      </w:r>
    </w:p>
    <w:p>
      <w:r>
        <w:rPr>
          <w:rFonts w:ascii="Times New Roman" w:hAnsi="Times New Roman" w:eastAsia="宋体"/>
          <w:b/>
          <w:i w:val="0"/>
          <w:sz w:val="22"/>
        </w:rPr>
        <w:t>表 4　分月样本外稳定性（节选）</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Times New Roman" w:hAnsi="Times New Roman" w:eastAsia="宋体"/>
                <w:b/>
                <w:i w:val="0"/>
                <w:sz w:val="20"/>
              </w:rPr>
              <w:t>月</w:t>
            </w:r>
          </w:p>
        </w:tc>
        <w:tc>
          <w:tcPr>
            <w:tcW w:type="dxa" w:w="1080"/>
          </w:tcPr>
          <w:p>
            <w:r/>
            <w:r>
              <w:rPr>
                <w:rFonts w:ascii="Times New Roman" w:hAnsi="Times New Roman" w:eastAsia="宋体"/>
                <w:b/>
                <w:i w:val="0"/>
                <w:sz w:val="20"/>
              </w:rPr>
              <w:t>2</w:t>
            </w:r>
          </w:p>
        </w:tc>
        <w:tc>
          <w:tcPr>
            <w:tcW w:type="dxa" w:w="1080"/>
          </w:tcPr>
          <w:p>
            <w:r/>
            <w:r>
              <w:rPr>
                <w:rFonts w:ascii="Times New Roman" w:hAnsi="Times New Roman" w:eastAsia="宋体"/>
                <w:b/>
                <w:i w:val="0"/>
                <w:sz w:val="20"/>
              </w:rPr>
              <w:t>3</w:t>
            </w:r>
          </w:p>
        </w:tc>
        <w:tc>
          <w:tcPr>
            <w:tcW w:type="dxa" w:w="1080"/>
          </w:tcPr>
          <w:p>
            <w:r/>
            <w:r>
              <w:rPr>
                <w:rFonts w:ascii="Times New Roman" w:hAnsi="Times New Roman" w:eastAsia="宋体"/>
                <w:b/>
                <w:i w:val="0"/>
                <w:sz w:val="20"/>
              </w:rPr>
              <w:t>5</w:t>
            </w:r>
          </w:p>
        </w:tc>
        <w:tc>
          <w:tcPr>
            <w:tcW w:type="dxa" w:w="1080"/>
          </w:tcPr>
          <w:p>
            <w:r/>
            <w:r>
              <w:rPr>
                <w:rFonts w:ascii="Times New Roman" w:hAnsi="Times New Roman" w:eastAsia="宋体"/>
                <w:b/>
                <w:i w:val="0"/>
                <w:sz w:val="20"/>
              </w:rPr>
              <w:t>7</w:t>
            </w:r>
          </w:p>
        </w:tc>
        <w:tc>
          <w:tcPr>
            <w:tcW w:type="dxa" w:w="1080"/>
          </w:tcPr>
          <w:p>
            <w:r/>
            <w:r>
              <w:rPr>
                <w:rFonts w:ascii="Times New Roman" w:hAnsi="Times New Roman" w:eastAsia="宋体"/>
                <w:b/>
                <w:i w:val="0"/>
                <w:sz w:val="20"/>
              </w:rPr>
              <w:t>9</w:t>
            </w:r>
          </w:p>
        </w:tc>
        <w:tc>
          <w:tcPr>
            <w:tcW w:type="dxa" w:w="1080"/>
          </w:tcPr>
          <w:p>
            <w:r/>
            <w:r>
              <w:rPr>
                <w:rFonts w:ascii="Times New Roman" w:hAnsi="Times New Roman" w:eastAsia="宋体"/>
                <w:b/>
                <w:i w:val="0"/>
                <w:sz w:val="20"/>
              </w:rPr>
              <w:t>11</w:t>
            </w:r>
          </w:p>
        </w:tc>
        <w:tc>
          <w:tcPr>
            <w:tcW w:type="dxa" w:w="1080"/>
          </w:tcPr>
          <w:p>
            <w:r/>
            <w:r>
              <w:rPr>
                <w:rFonts w:ascii="Times New Roman" w:hAnsi="Times New Roman" w:eastAsia="宋体"/>
                <w:b/>
                <w:i w:val="0"/>
                <w:sz w:val="20"/>
              </w:rPr>
              <w:t>12</w:t>
            </w:r>
          </w:p>
        </w:tc>
      </w:tr>
      <w:tr>
        <w:tc>
          <w:tcPr>
            <w:tcW w:type="dxa" w:w="1080"/>
          </w:tcPr>
          <w:p>
            <w:r/>
            <w:r>
              <w:rPr>
                <w:rFonts w:ascii="Times New Roman" w:hAnsi="Times New Roman" w:eastAsia="宋体"/>
                <w:b w:val="0"/>
                <w:i w:val="0"/>
                <w:sz w:val="20"/>
              </w:rPr>
              <w:t>rMAE</w:t>
            </w:r>
          </w:p>
        </w:tc>
        <w:tc>
          <w:tcPr>
            <w:tcW w:type="dxa" w:w="1080"/>
          </w:tcPr>
          <w:p>
            <w:r/>
            <w:r>
              <w:rPr>
                <w:rFonts w:ascii="Times New Roman" w:hAnsi="Times New Roman" w:eastAsia="宋体"/>
                <w:b w:val="0"/>
                <w:i w:val="0"/>
                <w:sz w:val="20"/>
              </w:rPr>
              <w:t>1.123</w:t>
            </w:r>
          </w:p>
        </w:tc>
        <w:tc>
          <w:tcPr>
            <w:tcW w:type="dxa" w:w="1080"/>
          </w:tcPr>
          <w:p>
            <w:r/>
            <w:r>
              <w:rPr>
                <w:rFonts w:ascii="Times New Roman" w:hAnsi="Times New Roman" w:eastAsia="宋体"/>
                <w:b w:val="0"/>
                <w:i w:val="0"/>
                <w:sz w:val="20"/>
              </w:rPr>
              <w:t>0.893</w:t>
            </w:r>
          </w:p>
        </w:tc>
        <w:tc>
          <w:tcPr>
            <w:tcW w:type="dxa" w:w="1080"/>
          </w:tcPr>
          <w:p>
            <w:r/>
            <w:r>
              <w:rPr>
                <w:rFonts w:ascii="Times New Roman" w:hAnsi="Times New Roman" w:eastAsia="宋体"/>
                <w:b w:val="0"/>
                <w:i w:val="0"/>
                <w:sz w:val="20"/>
              </w:rPr>
              <w:t>0.793</w:t>
            </w:r>
          </w:p>
        </w:tc>
        <w:tc>
          <w:tcPr>
            <w:tcW w:type="dxa" w:w="1080"/>
          </w:tcPr>
          <w:p>
            <w:r/>
            <w:r>
              <w:rPr>
                <w:rFonts w:ascii="Times New Roman" w:hAnsi="Times New Roman" w:eastAsia="宋体"/>
                <w:b w:val="0"/>
                <w:i w:val="0"/>
                <w:sz w:val="20"/>
              </w:rPr>
              <w:t>0.909</w:t>
            </w:r>
          </w:p>
        </w:tc>
        <w:tc>
          <w:tcPr>
            <w:tcW w:type="dxa" w:w="1080"/>
          </w:tcPr>
          <w:p>
            <w:r/>
            <w:r>
              <w:rPr>
                <w:rFonts w:ascii="Times New Roman" w:hAnsi="Times New Roman" w:eastAsia="宋体"/>
                <w:b w:val="0"/>
                <w:i w:val="0"/>
                <w:sz w:val="20"/>
              </w:rPr>
              <w:t>0.891</w:t>
            </w:r>
          </w:p>
        </w:tc>
        <w:tc>
          <w:tcPr>
            <w:tcW w:type="dxa" w:w="1080"/>
          </w:tcPr>
          <w:p>
            <w:r/>
            <w:r>
              <w:rPr>
                <w:rFonts w:ascii="Times New Roman" w:hAnsi="Times New Roman" w:eastAsia="宋体"/>
                <w:b w:val="0"/>
                <w:i w:val="0"/>
                <w:sz w:val="20"/>
              </w:rPr>
              <w:t>0.867</w:t>
            </w:r>
          </w:p>
        </w:tc>
        <w:tc>
          <w:tcPr>
            <w:tcW w:type="dxa" w:w="1080"/>
          </w:tcPr>
          <w:p>
            <w:r/>
            <w:r>
              <w:rPr>
                <w:rFonts w:ascii="Times New Roman" w:hAnsi="Times New Roman" w:eastAsia="宋体"/>
                <w:b w:val="0"/>
                <w:i w:val="0"/>
                <w:sz w:val="20"/>
              </w:rPr>
              <w:t>0.919</w:t>
            </w:r>
          </w:p>
        </w:tc>
      </w:tr>
      <w:tr>
        <w:tc>
          <w:tcPr>
            <w:tcW w:type="dxa" w:w="1080"/>
          </w:tcPr>
          <w:p>
            <w:r/>
            <w:r>
              <w:rPr>
                <w:rFonts w:ascii="Times New Roman" w:hAnsi="Times New Roman" w:eastAsia="宋体"/>
                <w:b w:val="0"/>
                <w:i w:val="0"/>
                <w:sz w:val="20"/>
              </w:rPr>
              <w:t>EGD 胜天/总天</w:t>
            </w:r>
          </w:p>
        </w:tc>
        <w:tc>
          <w:tcPr>
            <w:tcW w:type="dxa" w:w="1080"/>
          </w:tcPr>
          <w:p>
            <w:r/>
            <w:r>
              <w:rPr>
                <w:rFonts w:ascii="Times New Roman" w:hAnsi="Times New Roman" w:eastAsia="宋体"/>
                <w:b w:val="0"/>
                <w:i w:val="0"/>
                <w:sz w:val="20"/>
              </w:rPr>
              <w:t>9/28</w:t>
            </w:r>
          </w:p>
        </w:tc>
        <w:tc>
          <w:tcPr>
            <w:tcW w:type="dxa" w:w="1080"/>
          </w:tcPr>
          <w:p>
            <w:r/>
            <w:r>
              <w:rPr>
                <w:rFonts w:ascii="Times New Roman" w:hAnsi="Times New Roman" w:eastAsia="宋体"/>
                <w:b w:val="0"/>
                <w:i w:val="0"/>
                <w:sz w:val="20"/>
              </w:rPr>
              <w:t>29/31</w:t>
            </w:r>
          </w:p>
        </w:tc>
        <w:tc>
          <w:tcPr>
            <w:tcW w:type="dxa" w:w="1080"/>
          </w:tcPr>
          <w:p>
            <w:r/>
            <w:r>
              <w:rPr>
                <w:rFonts w:ascii="Times New Roman" w:hAnsi="Times New Roman" w:eastAsia="宋体"/>
                <w:b w:val="0"/>
                <w:i w:val="0"/>
                <w:sz w:val="20"/>
              </w:rPr>
              <w:t>31/31</w:t>
            </w:r>
          </w:p>
        </w:tc>
        <w:tc>
          <w:tcPr>
            <w:tcW w:type="dxa" w:w="1080"/>
          </w:tcPr>
          <w:p>
            <w:r/>
            <w:r>
              <w:rPr>
                <w:rFonts w:ascii="Times New Roman" w:hAnsi="Times New Roman" w:eastAsia="宋体"/>
                <w:b w:val="0"/>
                <w:i w:val="0"/>
                <w:sz w:val="20"/>
              </w:rPr>
              <w:t>26/31</w:t>
            </w:r>
          </w:p>
        </w:tc>
        <w:tc>
          <w:tcPr>
            <w:tcW w:type="dxa" w:w="1080"/>
          </w:tcPr>
          <w:p>
            <w:r/>
            <w:r>
              <w:rPr>
                <w:rFonts w:ascii="Times New Roman" w:hAnsi="Times New Roman" w:eastAsia="宋体"/>
                <w:b w:val="0"/>
                <w:i w:val="0"/>
                <w:sz w:val="20"/>
              </w:rPr>
              <w:t>26/30</w:t>
            </w:r>
          </w:p>
        </w:tc>
        <w:tc>
          <w:tcPr>
            <w:tcW w:type="dxa" w:w="1080"/>
          </w:tcPr>
          <w:p>
            <w:r/>
            <w:r>
              <w:rPr>
                <w:rFonts w:ascii="Times New Roman" w:hAnsi="Times New Roman" w:eastAsia="宋体"/>
                <w:b w:val="0"/>
                <w:i w:val="0"/>
                <w:sz w:val="20"/>
              </w:rPr>
              <w:t>29/30</w:t>
            </w:r>
          </w:p>
        </w:tc>
        <w:tc>
          <w:tcPr>
            <w:tcW w:type="dxa" w:w="1080"/>
          </w:tcPr>
          <w:p>
            <w:r/>
            <w:r>
              <w:rPr>
                <w:rFonts w:ascii="Times New Roman" w:hAnsi="Times New Roman" w:eastAsia="宋体"/>
                <w:b w:val="0"/>
                <w:i w:val="0"/>
                <w:sz w:val="20"/>
              </w:rPr>
              <w:t>27/31</w:t>
            </w:r>
          </w:p>
        </w:tc>
      </w:tr>
    </w:tbl>
    <w:p>
      <w:pPr>
        <w:spacing w:after="40"/>
      </w:pPr>
    </w:p>
    <w:p>
      <w:r>
        <w:rPr>
          <w:rFonts w:ascii="Times New Roman" w:hAnsi="Times New Roman" w:eastAsia="宋体"/>
          <w:b/>
          <w:i w:val="0"/>
          <w:sz w:val="22"/>
        </w:rPr>
        <w:t>(5) 无信息泄漏。</w:t>
      </w:r>
      <w:r>
        <w:rPr>
          <w:rFonts w:ascii="Times New Roman" w:hAnsi="Times New Roman" w:eastAsia="宋体"/>
          <w:b w:val="0"/>
          <w:i w:val="0"/>
          <w:sz w:val="22"/>
        </w:rPr>
        <w:t xml:space="preserve"> 全部预测为逐日 walk-forward：成员只索引预测日之前数据，M3 训练集严格截止前一天，问题三已实现前缀经程序断言与真实值完全一致、剩余段才是预测，从机制上杜绝未来信息泄漏。</w:t>
      </w:r>
    </w:p>
    <w:p>
      <w:pPr>
        <w:pStyle w:val="Heading3"/>
      </w:pPr>
      <w:r>
        <w:rPr>
          <w:rFonts w:ascii="Times New Roman" w:hAnsi="Times New Roman" w:eastAsia="黑体"/>
          <w:color w:val="000000"/>
        </w:rPr>
        <w:t>5.5 问题三的会话更新精度</w:t>
      </w:r>
    </w:p>
    <w:p>
      <w:r>
        <w:rPr>
          <w:rFonts w:ascii="Times New Roman" w:hAnsi="Times New Roman" w:eastAsia="宋体"/>
          <w:b w:val="0"/>
          <w:i w:val="0"/>
          <w:sz w:val="22"/>
        </w:rPr>
        <w:t>同口径比较剩余段（表 5）：随会话推进、已实现前缀变长，剩余段 MAE 由日前的 46.08/44.30/39.16 降至锚定后的 44.06/41.22/39.00，单调改善；18:00 会话对晚峰购电决策时价格已最确定，符合机制预期。</w:t>
      </w:r>
    </w:p>
    <w:p>
      <w:r>
        <w:rPr>
          <w:rFonts w:ascii="Times New Roman" w:hAnsi="Times New Roman" w:eastAsia="宋体"/>
          <w:b/>
          <w:i w:val="0"/>
          <w:sz w:val="22"/>
        </w:rPr>
        <w:t>表 5　问题三各会话剩余段 MAE×10³</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宋体"/>
                <w:b/>
                <w:i w:val="0"/>
                <w:sz w:val="20"/>
              </w:rPr>
              <w:t>会话</w:t>
            </w:r>
          </w:p>
        </w:tc>
        <w:tc>
          <w:tcPr>
            <w:tcW w:type="dxa" w:w="2160"/>
          </w:tcPr>
          <w:p>
            <w:r/>
            <w:r>
              <w:rPr>
                <w:rFonts w:ascii="Times New Roman" w:hAnsi="Times New Roman" w:eastAsia="宋体"/>
                <w:b/>
                <w:i w:val="0"/>
                <w:sz w:val="20"/>
              </w:rPr>
              <w:t>预测段</w:t>
            </w:r>
          </w:p>
        </w:tc>
        <w:tc>
          <w:tcPr>
            <w:tcW w:type="dxa" w:w="2160"/>
          </w:tcPr>
          <w:p>
            <w:r/>
            <w:r>
              <w:rPr>
                <w:rFonts w:ascii="Times New Roman" w:hAnsi="Times New Roman" w:eastAsia="宋体"/>
                <w:b/>
                <w:i w:val="0"/>
                <w:sz w:val="20"/>
              </w:rPr>
              <w:t>同模型滚动后</w:t>
            </w:r>
          </w:p>
        </w:tc>
        <w:tc>
          <w:tcPr>
            <w:tcW w:type="dxa" w:w="2160"/>
          </w:tcPr>
          <w:p>
            <w:r/>
            <w:r>
              <w:rPr>
                <w:rFonts w:ascii="Times New Roman" w:hAnsi="Times New Roman" w:eastAsia="宋体"/>
                <w:b/>
                <w:i w:val="0"/>
                <w:sz w:val="20"/>
              </w:rPr>
              <w:t>日前同段</w:t>
            </w:r>
          </w:p>
        </w:tc>
      </w:tr>
      <w:tr>
        <w:tc>
          <w:tcPr>
            <w:tcW w:type="dxa" w:w="2160"/>
          </w:tcPr>
          <w:p>
            <w:r/>
            <w:r>
              <w:rPr>
                <w:rFonts w:ascii="Times New Roman" w:hAnsi="Times New Roman" w:eastAsia="宋体"/>
                <w:b w:val="0"/>
                <w:i w:val="0"/>
                <w:sz w:val="20"/>
              </w:rPr>
              <w:t>0:00</w:t>
            </w:r>
          </w:p>
        </w:tc>
        <w:tc>
          <w:tcPr>
            <w:tcW w:type="dxa" w:w="2160"/>
          </w:tcPr>
          <w:p>
            <w:r/>
            <w:r>
              <w:rPr>
                <w:rFonts w:ascii="Times New Roman" w:hAnsi="Times New Roman" w:eastAsia="宋体"/>
                <w:b w:val="0"/>
                <w:i w:val="0"/>
                <w:sz w:val="20"/>
              </w:rPr>
              <w:t>[0,144)</w:t>
            </w:r>
          </w:p>
        </w:tc>
        <w:tc>
          <w:tcPr>
            <w:tcW w:type="dxa" w:w="2160"/>
          </w:tcPr>
          <w:p>
            <w:r/>
            <w:r>
              <w:rPr>
                <w:rFonts w:ascii="Times New Roman" w:hAnsi="Times New Roman" w:eastAsia="宋体"/>
                <w:b w:val="0"/>
                <w:i w:val="0"/>
                <w:sz w:val="20"/>
              </w:rPr>
              <w:t>42.01</w:t>
            </w:r>
          </w:p>
        </w:tc>
        <w:tc>
          <w:tcPr>
            <w:tcW w:type="dxa" w:w="2160"/>
          </w:tcPr>
          <w:p>
            <w:r/>
            <w:r>
              <w:rPr>
                <w:rFonts w:ascii="Times New Roman" w:hAnsi="Times New Roman" w:eastAsia="宋体"/>
                <w:b w:val="0"/>
                <w:i w:val="0"/>
                <w:sz w:val="20"/>
              </w:rPr>
              <w:t>42.01</w:t>
            </w:r>
          </w:p>
        </w:tc>
      </w:tr>
      <w:tr>
        <w:tc>
          <w:tcPr>
            <w:tcW w:type="dxa" w:w="2160"/>
          </w:tcPr>
          <w:p>
            <w:r/>
            <w:r>
              <w:rPr>
                <w:rFonts w:ascii="Times New Roman" w:hAnsi="Times New Roman" w:eastAsia="宋体"/>
                <w:b w:val="0"/>
                <w:i w:val="0"/>
                <w:sz w:val="20"/>
              </w:rPr>
              <w:t>6:00</w:t>
            </w:r>
          </w:p>
        </w:tc>
        <w:tc>
          <w:tcPr>
            <w:tcW w:type="dxa" w:w="2160"/>
          </w:tcPr>
          <w:p>
            <w:r/>
            <w:r>
              <w:rPr>
                <w:rFonts w:ascii="Times New Roman" w:hAnsi="Times New Roman" w:eastAsia="宋体"/>
                <w:b w:val="0"/>
                <w:i w:val="0"/>
                <w:sz w:val="20"/>
              </w:rPr>
              <w:t>[36,144)</w:t>
            </w:r>
          </w:p>
        </w:tc>
        <w:tc>
          <w:tcPr>
            <w:tcW w:type="dxa" w:w="2160"/>
          </w:tcPr>
          <w:p>
            <w:r/>
            <w:r>
              <w:rPr>
                <w:rFonts w:ascii="Times New Roman" w:hAnsi="Times New Roman" w:eastAsia="宋体"/>
                <w:b w:val="0"/>
                <w:i w:val="0"/>
                <w:sz w:val="20"/>
              </w:rPr>
              <w:t>44.06</w:t>
            </w:r>
          </w:p>
        </w:tc>
        <w:tc>
          <w:tcPr>
            <w:tcW w:type="dxa" w:w="2160"/>
          </w:tcPr>
          <w:p>
            <w:r/>
            <w:r>
              <w:rPr>
                <w:rFonts w:ascii="Times New Roman" w:hAnsi="Times New Roman" w:eastAsia="宋体"/>
                <w:b w:val="0"/>
                <w:i w:val="0"/>
                <w:sz w:val="20"/>
              </w:rPr>
              <w:t>46.08</w:t>
            </w:r>
          </w:p>
        </w:tc>
      </w:tr>
      <w:tr>
        <w:tc>
          <w:tcPr>
            <w:tcW w:type="dxa" w:w="2160"/>
          </w:tcPr>
          <w:p>
            <w:r/>
            <w:r>
              <w:rPr>
                <w:rFonts w:ascii="Times New Roman" w:hAnsi="Times New Roman" w:eastAsia="宋体"/>
                <w:b w:val="0"/>
                <w:i w:val="0"/>
                <w:sz w:val="20"/>
              </w:rPr>
              <w:t>12:00</w:t>
            </w:r>
          </w:p>
        </w:tc>
        <w:tc>
          <w:tcPr>
            <w:tcW w:type="dxa" w:w="2160"/>
          </w:tcPr>
          <w:p>
            <w:r/>
            <w:r>
              <w:rPr>
                <w:rFonts w:ascii="Times New Roman" w:hAnsi="Times New Roman" w:eastAsia="宋体"/>
                <w:b w:val="0"/>
                <w:i w:val="0"/>
                <w:sz w:val="20"/>
              </w:rPr>
              <w:t>[72,144)</w:t>
            </w:r>
          </w:p>
        </w:tc>
        <w:tc>
          <w:tcPr>
            <w:tcW w:type="dxa" w:w="2160"/>
          </w:tcPr>
          <w:p>
            <w:r/>
            <w:r>
              <w:rPr>
                <w:rFonts w:ascii="Times New Roman" w:hAnsi="Times New Roman" w:eastAsia="宋体"/>
                <w:b w:val="0"/>
                <w:i w:val="0"/>
                <w:sz w:val="20"/>
              </w:rPr>
              <w:t>41.22</w:t>
            </w:r>
          </w:p>
        </w:tc>
        <w:tc>
          <w:tcPr>
            <w:tcW w:type="dxa" w:w="2160"/>
          </w:tcPr>
          <w:p>
            <w:r/>
            <w:r>
              <w:rPr>
                <w:rFonts w:ascii="Times New Roman" w:hAnsi="Times New Roman" w:eastAsia="宋体"/>
                <w:b w:val="0"/>
                <w:i w:val="0"/>
                <w:sz w:val="20"/>
              </w:rPr>
              <w:t>44.30</w:t>
            </w:r>
          </w:p>
        </w:tc>
      </w:tr>
      <w:tr>
        <w:tc>
          <w:tcPr>
            <w:tcW w:type="dxa" w:w="2160"/>
          </w:tcPr>
          <w:p>
            <w:r/>
            <w:r>
              <w:rPr>
                <w:rFonts w:ascii="Times New Roman" w:hAnsi="Times New Roman" w:eastAsia="宋体"/>
                <w:b w:val="0"/>
                <w:i w:val="0"/>
                <w:sz w:val="20"/>
              </w:rPr>
              <w:t>18:00</w:t>
            </w:r>
          </w:p>
        </w:tc>
        <w:tc>
          <w:tcPr>
            <w:tcW w:type="dxa" w:w="2160"/>
          </w:tcPr>
          <w:p>
            <w:r/>
            <w:r>
              <w:rPr>
                <w:rFonts w:ascii="Times New Roman" w:hAnsi="Times New Roman" w:eastAsia="宋体"/>
                <w:b w:val="0"/>
                <w:i w:val="0"/>
                <w:sz w:val="20"/>
              </w:rPr>
              <w:t>[108,144)</w:t>
            </w:r>
          </w:p>
        </w:tc>
        <w:tc>
          <w:tcPr>
            <w:tcW w:type="dxa" w:w="2160"/>
          </w:tcPr>
          <w:p>
            <w:r/>
            <w:r>
              <w:rPr>
                <w:rFonts w:ascii="Times New Roman" w:hAnsi="Times New Roman" w:eastAsia="宋体"/>
                <w:b w:val="0"/>
                <w:i w:val="0"/>
                <w:sz w:val="20"/>
              </w:rPr>
              <w:t>39.00</w:t>
            </w:r>
          </w:p>
        </w:tc>
        <w:tc>
          <w:tcPr>
            <w:tcW w:type="dxa" w:w="2160"/>
          </w:tcPr>
          <w:p>
            <w:r/>
            <w:r>
              <w:rPr>
                <w:rFonts w:ascii="Times New Roman" w:hAnsi="Times New Roman" w:eastAsia="宋体"/>
                <w:b w:val="0"/>
                <w:i w:val="0"/>
                <w:sz w:val="20"/>
              </w:rPr>
              <w:t>39.16</w:t>
            </w:r>
          </w:p>
        </w:tc>
      </w:tr>
    </w:tbl>
    <w:p>
      <w:pPr>
        <w:spacing w:after="40"/>
      </w:pPr>
    </w:p>
    <w:p>
      <w:r>
        <w:rPr>
          <w:rFonts w:ascii="Times New Roman" w:hAnsi="Times New Roman" w:eastAsia="宋体"/>
          <w:b w:val="0"/>
          <w:i w:val="0"/>
          <w:sz w:val="22"/>
        </w:rPr>
        <w:t>---</w:t>
      </w:r>
    </w:p>
    <w:p>
      <w:pPr>
        <w:pStyle w:val="Heading2"/>
      </w:pPr>
      <w:r>
        <w:rPr>
          <w:rFonts w:ascii="Times New Roman" w:hAnsi="Times New Roman" w:eastAsia="黑体"/>
          <w:color w:val="000000"/>
        </w:rPr>
        <w:t>6 波动电价下的优化模型</w:t>
      </w:r>
    </w:p>
    <w:p>
      <w:r>
        <w:rPr>
          <w:rFonts w:ascii="Times New Roman" w:hAnsi="Times New Roman" w:eastAsia="宋体"/>
          <w:b w:val="0"/>
          <w:i w:val="0"/>
          <w:sz w:val="22"/>
        </w:rPr>
        <w:t>核心口径：</w:t>
      </w:r>
      <w:r>
        <w:rPr>
          <w:rFonts w:ascii="Times New Roman" w:hAnsi="Times New Roman" w:eastAsia="宋体"/>
          <w:b/>
          <w:i w:val="0"/>
          <w:sz w:val="22"/>
        </w:rPr>
        <w:t>计划/优化层使用电价预测 p，事后结算层使用真实电价 p</w:t>
      </w:r>
      <w:r>
        <w:rPr>
          <w:rFonts w:ascii="Times New Roman" w:hAnsi="Times New Roman" w:eastAsia="宋体"/>
          <w:b w:val="0"/>
          <w:i w:val="0"/>
          <w:sz w:val="22"/>
        </w:rPr>
        <w:t>，两者之差即电价预测误差的货币代价。负载/光伏预测与情景树沿用第二、三问。</w:t>
      </w:r>
    </w:p>
    <w:p>
      <w:pPr>
        <w:pStyle w:val="Heading3"/>
      </w:pPr>
      <w:r>
        <w:rPr>
          <w:rFonts w:ascii="Times New Roman" w:hAnsi="Times New Roman" w:eastAsia="黑体"/>
          <w:color w:val="000000"/>
        </w:rPr>
        <w:t>6.1 重算问题二：逐日确定性线性规划</w:t>
      </w:r>
    </w:p>
    <w:p>
      <w:r>
        <w:rPr>
          <w:rFonts w:ascii="Times New Roman" w:hAnsi="Times New Roman" w:eastAsia="宋体"/>
          <w:b w:val="0"/>
          <w:i w:val="0"/>
          <w:sz w:val="22"/>
        </w:rPr>
        <w:t>变量（每时段 t）：at 电网直供购电、bt 电网购电充储、gt 光伏直供、ct 光伏充储、dt 储能放电、qt 弃光。以当天预测电价 pt 制定计划：</w:t>
      </w:r>
    </w:p>
    <w:p>
      <w:pPr>
        <w:spacing w:after="80"/>
        <w:jc w:val="center"/>
      </w:pPr>
      <w:r>
        <w:rPr>
          <w:rFonts w:ascii="Times New Roman" w:hAnsi="Times New Roman" w:eastAsia="宋体"/>
          <w:b w:val="0"/>
          <w:i/>
          <w:sz w:val="22"/>
        </w:rPr>
        <w:t>min Σ(t=0)^(143)pt(at+bt) t+εΣt(bt+ct+dt) t-η p(143)E(144),</w:t>
      </w:r>
    </w:p>
    <w:p>
      <w:pPr>
        <w:spacing w:after="80"/>
        <w:jc w:val="center"/>
      </w:pPr>
      <w:r>
        <w:rPr>
          <w:rFonts w:ascii="Times New Roman" w:hAnsi="Times New Roman" w:eastAsia="宋体"/>
          <w:b w:val="0"/>
          <w:i/>
          <w:sz w:val="22"/>
        </w:rPr>
        <w:t>E(min)≤ E0+Σ(τ≤ t)[η t(bτ+cτ)- t dτ/η]≤ E(max),</w:t>
      </w:r>
    </w:p>
    <w:p>
      <w:r>
        <w:rPr>
          <w:rFonts w:ascii="Times New Roman" w:hAnsi="Times New Roman" w:eastAsia="宋体"/>
          <w:b w:val="0"/>
          <w:i w:val="0"/>
          <w:sz w:val="22"/>
        </w:rPr>
        <w:t>末项 -(143)E(144) 为日末储能余值，避免线性规划短视放空储能。日内以真实负载、光伏结算：若某时段实际供电 at+min(gt,Pt)+dt 低于真实负载，缺口按 5pt 紧急购电；计划购电量 (at+bt) 按真实交易时刻电价 pt 计费。逐日滚动、储能电量跨日衔接。</w:t>
      </w:r>
    </w:p>
    <w:p>
      <w:pPr>
        <w:pStyle w:val="Heading3"/>
      </w:pPr>
      <w:r>
        <w:rPr>
          <w:rFonts w:ascii="Times New Roman" w:hAnsi="Times New Roman" w:eastAsia="黑体"/>
          <w:color w:val="000000"/>
        </w:rPr>
        <w:t>6.2 重算问题三：四阶段随机规划</w:t>
      </w:r>
    </w:p>
    <w:p>
      <w:r>
        <w:rPr>
          <w:rFonts w:ascii="Times New Roman" w:hAnsi="Times New Roman" w:eastAsia="宋体"/>
          <w:b w:val="0"/>
          <w:i w:val="0"/>
          <w:sz w:val="22"/>
        </w:rPr>
        <w:t>沿用第三问的扩展型四阶段随机规划（情景树与非预期共享约束不变），四个阶段对应时段块 [0,36)、[36,72)、[72,108)、[108,144)。</w:t>
      </w:r>
      <w:r>
        <w:rPr>
          <w:rFonts w:ascii="Times New Roman" w:hAnsi="Times New Roman" w:eastAsia="宋体"/>
          <w:b/>
          <w:i w:val="0"/>
          <w:sz w:val="22"/>
        </w:rPr>
        <w:t>唯一的电价改造</w:t>
      </w:r>
      <w:r>
        <w:rPr>
          <w:rFonts w:ascii="Times New Roman" w:hAnsi="Times New Roman" w:eastAsia="宋体"/>
          <w:b w:val="0"/>
          <w:i w:val="0"/>
          <w:sz w:val="22"/>
        </w:rPr>
        <w:t>是：阶段 s 的目标系数取该会话时点的电价预测版本，即</w:t>
      </w:r>
    </w:p>
    <w:p>
      <w:pPr>
        <w:spacing w:after="80"/>
        <w:jc w:val="center"/>
      </w:pPr>
      <w:r>
        <w:rPr>
          <w:rFonts w:ascii="Times New Roman" w:hAnsi="Times New Roman" w:eastAsia="宋体"/>
          <w:b w:val="0"/>
          <w:i/>
          <w:sz w:val="22"/>
        </w:rPr>
        <w:t>p^(stage)t=p^((s-1))t,   t, s=1,2,3,4,</w:t>
        <w:br/>
        <w:t>0:00 阶段用日前曲线，其后各阶段依次用 6/12/18 点滚动刷新后的曲线；日末储能余值取第 4 次会话电价。调整购电相对原计划"少买/多买"分别按 0.5pt、1.5pt 计偏差费，期望目标含购电费、偏差费与 5 倍紧急费；事后结算（购电、偏差、紧急）全部用当日真实电价。电价不抽样、不进情景树（见 4.5）。</w:t>
        <w:br/>
        <w:br/>
        <w:t>---</w:t>
        <w:br/>
        <w:br/>
        <w:t>## 7 结果与分析</w:t>
        <w:br/>
        <w:br/>
        <w:t>### 7.1 重算问题二（result4-2）</w:t>
        <w:br/>
        <w:t>**表 6　问题二全年费用（元）**</w:t>
        <w:br/>
        <w:t>| 电价方案 | 净成本 | 相对全要素下界的误差代价 |</w:t>
        <w:br/>
        <w:t>|---|---:|---:|</w:t>
        <w:br/>
        <w:t>| EGD 日前电价（采用） | **17,222,190** | 4,394,658 |</w:t>
        <w:br/>
        <w:t>| naive-week 电价 | 17,260,115 | 4,432,583 |</w:t>
        <w:br/>
        <w:t>| 电价完美预见（负载光伏仍预测） | 17,115,708 | 4,288,176 |</w:t>
        <w:br/>
        <w:t>| 全要素完美预见下界 | 12,827,532 | 0 |</w:t>
        <w:br/>
        <w:br/>
        <w:t>电价预测由 naive-week 升级为 EGD，**全年节省 3.79 万元**；电价预测的剩余理论空间（到电价完美）约 10.6 万元；而负载/光伏预测贡献的误差代价约 429 万元，是误差代价的主体，与第二问结论一致。全要素完美预见下物理缺口≈10^(-10) kWh，数值上验证了能量守恒与结算逻辑正确。</w:t>
        <w:br/>
        <w:br/>
        <w:t>### 7.2 重算问题三（result4-3）</w:t>
        <w:br/>
        <w:t>**表 7　问题三全年费用（元）**</w:t>
        <w:br/>
        <w:t>| 电价方案 | 购电费 | 偏差费 | 紧急费 | 总费用 | 缺口/万 kWh |</w:t>
        <w:br/>
        <w:t>|---|---:|---:|---:|---:|---:|</w:t>
        <w:br/>
        <w:t>| 四会话滚动更新（采用） | 13,289,666 | 217,432 | 1,958,115 | **15,465,213** | 35.07 |</w:t>
        <w:br/>
        <w:t>| 0:00 电价冻结全天（对照） | 13,290,081 | 217,528 | 1,958,122 | 15,465,731 | 35.13 |</w:t>
        <w:br/>
        <w:t>| 电价完美预见（上界） | 13,179,042 | 218,095 | 2,003,511 | 15,400,648 | 36.65 |</w:t>
        <w:br/>
        <w:t>| 参照：第三问固定电价 | 12,627,146 | 206,991 | 1,852,173 | 14,686,310 | 35.30 |</w:t>
        <w:br/>
        <w:br/>
        <w:t>波动电价较固定电价全年增支约 77.9 万元（+5.3%），主要源于购电单价抬升；物理缺口量基本不变（35.1 对 35.3 万 kWh），印证缺口由负载/光伏预测误差决定、电价只改变费用。需要如实指出：会话电价更新在**统计精度上有效**（表 5 逐次下降），但**货币化增益仅约 518 元/年**——问题三每 6 h 可调整且有偏差罚，购电主要由供需平衡硬约束决定，电价是次要矛盾，电价预测到完美预见的理论上限也仅约 6.5 万元。这一"统计显著、费用不敏感"的结果反而说明：电价预测的价值重心在问题二的日前底座（也是问题三各会话的共同起点）。</w:t>
        <w:br/>
        <w:br/>
        <w:t>### 7.3 两情境对比小结</w:t>
        <w:br/>
        <w:t>同一套电价模型、仅更新频率不同：问题二 24 h 一次、无当日信息，预测精度直接决定计划质量，电价改进的货币价值清晰（3.79 万元）；问题三 6 h 滚动、信息逐次完备，预测精度逐会话提升，但因优化层可连续调整、费用被供需硬约束主导，电价的边际货币价值较小。两者结论自洽、互不矛盾。</w:t>
        <w:br/>
        <w:br/>
        <w:t>---</w:t>
        <w:br/>
        <w:br/>
        <w:t>## 8 模型优点、不足与推广</w:t>
        <w:br/>
        <w:br/>
        <w:t>**优点**：(1) 先审计后选模，每个成员对应一条已验证规律，并以固定形状、外生变量、独立日内模型等反向消融排除不适配方向，选型稳固而非灵感式堆叠；(2) 两情境是否分设模型并非先验拍板，而是把独立日内方案完整实现、经 334 天同口径对照证伪后，才确定"同一架构 + 24 h/6 h 两种更新频率"，既避免冗余模型与额外过拟合面，又口径统一、结果可比；(3) 五项过拟合/稳健性检验 + Wilcoxon 显著性，结论在宽参数邻域与 10/11 个月份上稳定；(4) 计划用预测价、结算用真实价，并以完美预见分解误差代价，结论可审计、可复现。</w:t>
        <w:br/>
        <w:br/>
        <w:t>**不足**：(1) 月初 regime 跳变仍是最大误差源（前 5 天 57.94 仍高于平时），后续可引入变点检测、在切换瞬间重置集成权重[5]；(2) 问题三仅做加性水平刷新，未做形状级日内更新，但对照实验与费用结果显示其增益空间有限；(3) 仅一年样本，深度模型不具优势，若积累多年数据可再评估序列深度模型。</w:t>
        <w:br/>
        <w:br/>
        <w:t>**推广**：该"规律审计 → 异构池 + 在线集成 → 严格滚动检验 → 预测价与真实价分离结算"的框架，可直接迁移到其他单一价区、10—15 min 级、具有强周周期的现货电价预测与微网/虚拟电厂调度场景。</w:t>
        <w:br/>
        <w:br/>
        <w:t>---</w:t>
        <w:br/>
        <w:br/>
        <w:t>## 参考文献（GB/T 7714，均为知网收录中文核心）</w:t>
        <w:br/>
        <w:t>[1] 张显,王锡凡.短期电价预测综述[J].电力系统自动化,2006,30(3):92-101.</w:t>
        <w:br/>
        <w:t>[2] 张显,王锡凡,陈芳华,等.分时段短期电价预测[J].中国电机工程学报,2005,25(15):1-6.</w:t>
        <w:br/>
        <w:t>[3] 魏勤,陈仕军,黄炜斌,等.利用随机森林回归的现货市场出清价格预测方法[J].中国电机工程学报,2021,41(4):1360-1367.</w:t>
        <w:br/>
        <w:t>[4] 艾雨,贾燕冰,韩肖清.基于相似日筛选与组合深度学习模型的日前电价预测方法[J].电网技术,2025,49(1):242-251.</w:t>
        <w:br/>
        <w:t>[5] 刘慧鑫,沈晓东,魏泽涛,等.基于校准窗口集成与耦合市场特征的可解释双层日前电价预测[J].中国电机工程学报,2024,44(4):1272-1285.</w:t>
        <w:br/>
        <w:t>[6] 陈梓宏,黄宁馨,赖智航,等.一种基于Patch机制与通道独立结构的改进Transformer日前电价预测方法[J].中国电力,2026,59(5).</w:t>
        <w:br/>
        <w:t>[7] 许越,李强,崔晖.基于MIC-EEMD-改进Informer的含高比例清洁能源与储能的电力市场短期电价多步预测[J].电网技术,2024,48(3):949-957.</w:t>
        <w:br/>
        <w:t>[8] 朱润泽,王德军,张宗兴,等.基于LSTM-Transformer混合模型的电力现货市场日前电价预测[J].热力发电,2026,55(8).</w:t>
        <w:br/>
        <w:t>[9] 方逸飞,刘东,陈静,等.考虑中长期市场因素的净现货竞价空间驱动的日前出清电价预测方法[J].中国电机工程学报,2026,46(2):506-519.</w:t>
        <w:br/>
        <w:t>[10] 谢云明,许鹏辉,吴涛,等.基于融合全局残差Mamba的短期电价预测方法研究[J].热力发电,2026,55(5):169-177.</w:t>
        <w:br/>
        <w:t>[11] 王瑞庆,王宏福.基于t分布GARCH模型的电价波动时变性研究[J].电力系统保护与控制,2011,39(23):49-53,59.</w:t>
        <w:br/>
        <w:t>[12] 周洋洋,王玲芝,赵佳蕊.基于RIME-CNN-LSTM-AM模型的智能电网短期电价预测方法[J].电力信息与通信技术,2026(2):10-18.</w:t>
        <w:br/>
        <w:t>[13] 郭瑛,曹蕃,宋寅,等.电力市场价格预测的综述与展望[J].分布式能源,2025(4):1-12.</w:t>
        <w:br/>
        <w:t>[14] 郑志勇,陈田原,胡哲,等.短期电价预测的机器学习方法:现状、挑战与展望[J].河南科学,2025(1):90-98.</w:t>
        <w:br/>
        <w:t>[15] 韩升科,胡飞虎,陈之腾,等.基于GCN-LSTM的日前市场边际电价预测[J].中国电机工程学报,2022,42(9):3276-3285.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