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979" w:rsidRPr="007A21F9" w:rsidRDefault="00284979" w:rsidP="00284979">
      <w:pPr>
        <w:jc w:val="center"/>
        <w:rPr>
          <w:rFonts w:ascii="Candara" w:hAnsi="Candara"/>
          <w:b/>
          <w:color w:val="1F497D" w:themeColor="text2"/>
          <w:sz w:val="28"/>
        </w:rPr>
      </w:pPr>
      <w:r w:rsidRPr="007A21F9">
        <w:rPr>
          <w:rFonts w:ascii="Candara" w:hAnsi="Candara"/>
          <w:b/>
          <w:color w:val="1F497D" w:themeColor="text2"/>
          <w:sz w:val="28"/>
        </w:rPr>
        <w:t xml:space="preserve">Revisiones y aspectos fundamentales del PIB </w:t>
      </w:r>
    </w:p>
    <w:p w:rsidR="00284979" w:rsidRPr="007A21F9" w:rsidRDefault="00284979" w:rsidP="00284979">
      <w:pPr>
        <w:jc w:val="center"/>
        <w:rPr>
          <w:rFonts w:ascii="Candara" w:hAnsi="Candara"/>
          <w:b/>
          <w:color w:val="808080" w:themeColor="background1" w:themeShade="80"/>
          <w:sz w:val="28"/>
        </w:rPr>
      </w:pPr>
      <w:r w:rsidRPr="007A21F9">
        <w:rPr>
          <w:rFonts w:ascii="Candara" w:hAnsi="Candara"/>
          <w:b/>
          <w:color w:val="808080" w:themeColor="background1" w:themeShade="80"/>
          <w:sz w:val="28"/>
        </w:rPr>
        <w:t xml:space="preserve">Estados Unidos - Primer trimestre de 2014 </w:t>
      </w:r>
    </w:p>
    <w:p w:rsidR="002A468E" w:rsidRDefault="003679B0" w:rsidP="00E71FC9">
      <w:pPr>
        <w:jc w:val="both"/>
      </w:pPr>
      <w:r>
        <w:t>La primera lectura del PIB del segundo trimestre de Estados Unidos registró un incremento de 4.0%, superando las expectativas del mercado de expansión de 3.0%</w:t>
      </w:r>
      <w:r w:rsidR="004E2EAF">
        <w:t xml:space="preserve"> y muy cercano a la expectativa de Ultrabursátiles</w:t>
      </w:r>
      <w:r>
        <w:t>, de igual forma, el dato del primer trimestre fue revisado positivamente y pasa de presentar una contracción de 2.9% a una de 2.1%. El favorable registro se atribuyó al comportamiento del gasto en consumo personal, inversión privada en inventarios, exportaciones, gasto del gobierno y la inversión.</w:t>
      </w:r>
      <w:r w:rsidR="001D1FA8" w:rsidRPr="001D1FA8">
        <w:t xml:space="preserve"> </w:t>
      </w:r>
    </w:p>
    <w:tbl>
      <w:tblPr>
        <w:tblStyle w:val="Tablaconcuadrcula"/>
        <w:tblW w:w="9426" w:type="dxa"/>
        <w:jc w:val="center"/>
        <w:tblInd w:w="2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76"/>
        <w:gridCol w:w="4950"/>
      </w:tblGrid>
      <w:tr w:rsidR="009B30F9" w:rsidTr="008C5C19">
        <w:trPr>
          <w:jc w:val="center"/>
        </w:trPr>
        <w:tc>
          <w:tcPr>
            <w:tcW w:w="4489" w:type="dxa"/>
          </w:tcPr>
          <w:p w:rsidR="009B30F9" w:rsidRPr="009B30F9" w:rsidRDefault="009B30F9" w:rsidP="00014E0C">
            <w:pPr>
              <w:jc w:val="center"/>
              <w:rPr>
                <w:rFonts w:ascii="Candara" w:hAnsi="Candara"/>
                <w:b/>
                <w:color w:val="002060"/>
              </w:rPr>
            </w:pPr>
            <w:r w:rsidRPr="009B30F9">
              <w:rPr>
                <w:rFonts w:ascii="Candara" w:hAnsi="Candara"/>
                <w:b/>
                <w:color w:val="002060"/>
              </w:rPr>
              <w:t>Variaciones anualizadas por trimestres</w:t>
            </w:r>
          </w:p>
        </w:tc>
        <w:tc>
          <w:tcPr>
            <w:tcW w:w="4937" w:type="dxa"/>
          </w:tcPr>
          <w:p w:rsidR="009B30F9" w:rsidRPr="009B30F9" w:rsidRDefault="009B30F9" w:rsidP="009B30F9">
            <w:pPr>
              <w:jc w:val="center"/>
              <w:rPr>
                <w:rFonts w:ascii="Candara" w:hAnsi="Candara"/>
                <w:b/>
                <w:color w:val="002060"/>
              </w:rPr>
            </w:pPr>
            <w:r w:rsidRPr="009B30F9">
              <w:rPr>
                <w:rFonts w:ascii="Candara" w:hAnsi="Candara"/>
                <w:b/>
                <w:color w:val="002060"/>
              </w:rPr>
              <w:t>Variación y Contribución a la Variación</w:t>
            </w:r>
          </w:p>
          <w:p w:rsidR="009B30F9" w:rsidRPr="009B30F9" w:rsidRDefault="009B30F9" w:rsidP="00014E0C">
            <w:pPr>
              <w:jc w:val="center"/>
              <w:rPr>
                <w:b/>
                <w:color w:val="95B3D7" w:themeColor="accent1" w:themeTint="99"/>
              </w:rPr>
            </w:pPr>
            <w:r w:rsidRPr="009B30F9">
              <w:rPr>
                <w:rFonts w:ascii="Candara" w:hAnsi="Candara"/>
                <w:b/>
                <w:color w:val="95B3D7" w:themeColor="accent1" w:themeTint="99"/>
              </w:rPr>
              <w:t xml:space="preserve">PIB </w:t>
            </w:r>
            <w:r w:rsidR="00014E0C">
              <w:rPr>
                <w:rFonts w:ascii="Candara" w:hAnsi="Candara"/>
                <w:b/>
                <w:color w:val="95B3D7" w:themeColor="accent1" w:themeTint="99"/>
              </w:rPr>
              <w:t>2</w:t>
            </w:r>
            <w:r w:rsidRPr="009B30F9">
              <w:rPr>
                <w:rFonts w:ascii="Candara" w:hAnsi="Candara"/>
                <w:b/>
                <w:color w:val="95B3D7" w:themeColor="accent1" w:themeTint="99"/>
              </w:rPr>
              <w:t>T 2014</w:t>
            </w:r>
          </w:p>
        </w:tc>
      </w:tr>
      <w:tr w:rsidR="009B30F9" w:rsidTr="005A27B1">
        <w:tblPrEx>
          <w:tblCellMar>
            <w:left w:w="70" w:type="dxa"/>
            <w:right w:w="70" w:type="dxa"/>
          </w:tblCellMar>
        </w:tblPrEx>
        <w:trPr>
          <w:jc w:val="center"/>
        </w:trPr>
        <w:tc>
          <w:tcPr>
            <w:tcW w:w="4489" w:type="dxa"/>
          </w:tcPr>
          <w:p w:rsidR="009B30F9" w:rsidRDefault="00014E0C" w:rsidP="00014E0C">
            <w:pPr>
              <w:jc w:val="center"/>
            </w:pPr>
            <w:r w:rsidRPr="00014E0C">
              <w:drawing>
                <wp:inline distT="0" distB="0" distL="0" distR="0">
                  <wp:extent cx="2641433" cy="2240726"/>
                  <wp:effectExtent l="19050" t="0" r="6517" b="0"/>
                  <wp:docPr id="5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7132" cy="2245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7" w:type="dxa"/>
          </w:tcPr>
          <w:p w:rsidR="009B30F9" w:rsidRDefault="005A27B1" w:rsidP="00AE3FB8">
            <w:pPr>
              <w:jc w:val="center"/>
            </w:pPr>
            <w:r>
              <w:rPr>
                <w:noProof/>
                <w:lang w:eastAsia="es-CO"/>
              </w:rPr>
              <w:drawing>
                <wp:inline distT="0" distB="0" distL="0" distR="0">
                  <wp:extent cx="3035228" cy="2160070"/>
                  <wp:effectExtent l="19050" t="0" r="0" b="0"/>
                  <wp:docPr id="9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934" cy="21698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A468E" w:rsidRPr="00AE3FB8" w:rsidRDefault="002A468E" w:rsidP="00E71FC9">
      <w:pPr>
        <w:jc w:val="both"/>
        <w:rPr>
          <w:rFonts w:ascii="Century Gothic" w:hAnsi="Century Gothic"/>
          <w:b/>
          <w:color w:val="1F497D" w:themeColor="text2"/>
        </w:rPr>
      </w:pPr>
    </w:p>
    <w:p w:rsidR="009D76BF" w:rsidRPr="007A21F9" w:rsidRDefault="00AE3FB8" w:rsidP="00E71FC9">
      <w:pPr>
        <w:jc w:val="both"/>
        <w:rPr>
          <w:rFonts w:ascii="Candara" w:hAnsi="Candara"/>
          <w:b/>
          <w:color w:val="1F497D" w:themeColor="text2"/>
          <w:sz w:val="24"/>
        </w:rPr>
      </w:pPr>
      <w:r w:rsidRPr="007A21F9">
        <w:rPr>
          <w:rFonts w:ascii="Candara" w:hAnsi="Candara"/>
          <w:b/>
          <w:color w:val="1F497D" w:themeColor="text2"/>
          <w:sz w:val="24"/>
        </w:rPr>
        <w:t>Comportamiento por rubros</w:t>
      </w:r>
      <w:r w:rsidR="002C7C50" w:rsidRPr="007A21F9">
        <w:rPr>
          <w:rFonts w:ascii="Candara" w:hAnsi="Candara"/>
          <w:b/>
          <w:color w:val="1F497D" w:themeColor="text2"/>
          <w:sz w:val="24"/>
        </w:rPr>
        <w:t>:</w:t>
      </w:r>
    </w:p>
    <w:p w:rsidR="009D76BF" w:rsidRDefault="009D76BF" w:rsidP="00E71FC9">
      <w:pPr>
        <w:jc w:val="both"/>
      </w:pPr>
      <w:r>
        <w:t>El crecimiento del PIB de segundo trimestre es un reflejo del repunte en la inversión privada en inventarios que aportó 1.66 puntos porcentuales a la variación siendo las segunda mayor contribución luego del gasto en consumo personal el cual aportó 1.69 puntos porcentuales.</w:t>
      </w:r>
    </w:p>
    <w:p w:rsidR="00AE3FB8" w:rsidRDefault="009D76BF" w:rsidP="00E71FC9">
      <w:pPr>
        <w:jc w:val="both"/>
      </w:pPr>
      <w:r>
        <w:t>En una lectura más detallada, el gasto en consumo personal recuperó din</w:t>
      </w:r>
      <w:r w:rsidR="00D41244">
        <w:t xml:space="preserve">amismo respecto a trimestres previos y se resalta como el componente de gasto más dinámico el </w:t>
      </w:r>
      <w:r w:rsidR="007A21F9">
        <w:t xml:space="preserve">componente </w:t>
      </w:r>
      <w:r w:rsidR="00D41244">
        <w:t>de consumo de bienes durables de 14.0%, por otro lado, el consumo en servicios presentó desaceleración respecto al trimestre previo y su variación fue de 0.7%.</w:t>
      </w:r>
    </w:p>
    <w:p w:rsidR="0077663F" w:rsidRDefault="00D41244" w:rsidP="00E71FC9">
      <w:pPr>
        <w:jc w:val="both"/>
      </w:pPr>
      <w:r>
        <w:t>De igual forma, en el reporte se resalta la recuperación conjunta del gasto de consumo del Gobierno e inversión bruta, impulsada por el aumento del gasto estatal y local de 3.1%</w:t>
      </w:r>
      <w:r w:rsidR="007A21F9">
        <w:t xml:space="preserve"> que contrarresta el comportamiento de</w:t>
      </w:r>
      <w:r>
        <w:t>l gasto federal</w:t>
      </w:r>
      <w:r w:rsidR="007A21F9">
        <w:t xml:space="preserve"> que</w:t>
      </w:r>
      <w:r>
        <w:t xml:space="preserve"> </w:t>
      </w:r>
      <w:r w:rsidR="0077663F">
        <w:t>regis</w:t>
      </w:r>
      <w:r w:rsidR="007A21F9">
        <w:t>tró</w:t>
      </w:r>
      <w:r w:rsidR="0077663F">
        <w:t xml:space="preserve"> contracción de -0.8% afectado</w:t>
      </w:r>
      <w:r>
        <w:t xml:space="preserve"> por la contracción de 3.7% en los gastos distintos a defensa</w:t>
      </w:r>
      <w:r w:rsidR="0077663F">
        <w:t>.</w:t>
      </w:r>
    </w:p>
    <w:p w:rsidR="00730431" w:rsidRDefault="00730431" w:rsidP="00E71FC9">
      <w:pPr>
        <w:jc w:val="both"/>
      </w:pPr>
      <w:r>
        <w:t>Es</w:t>
      </w:r>
      <w:r w:rsidR="0077663F">
        <w:t xml:space="preserve"> importante resaltar que el rubro de inversión bruta privada doméstica</w:t>
      </w:r>
      <w:r w:rsidR="00CF1A4D">
        <w:t xml:space="preserve"> mejoró</w:t>
      </w:r>
      <w:r w:rsidR="0077663F">
        <w:t xml:space="preserve"> </w:t>
      </w:r>
      <w:r w:rsidR="007A21F9">
        <w:t xml:space="preserve">y </w:t>
      </w:r>
      <w:r w:rsidR="0077663F">
        <w:t>dio el mayor aporte en la variación del PIB con</w:t>
      </w:r>
      <w:r w:rsidR="007A21F9">
        <w:t xml:space="preserve"> 2.57 puntos porcentuales. Cuando se </w:t>
      </w:r>
      <w:r w:rsidR="0077663F">
        <w:t>d</w:t>
      </w:r>
      <w:r w:rsidR="007A21F9">
        <w:t>escompone</w:t>
      </w:r>
      <w:r w:rsidR="0077663F">
        <w:t xml:space="preserve"> este rubro se observa un balance favorable en la inversión fija concentrada en el componente de inversión en infraestructuras, el cual se acelera desde el 2.9% del primer trimestre al 5.3% en el segundo trimestre. </w:t>
      </w:r>
      <w:r w:rsidR="00CF1A4D">
        <w:t>Por otro lado,</w:t>
      </w:r>
      <w:r w:rsidR="0077663F">
        <w:t xml:space="preserve"> </w:t>
      </w:r>
      <w:r w:rsidR="00CF1A4D">
        <w:t>una importante contribución provino</w:t>
      </w:r>
      <w:r w:rsidR="0077663F">
        <w:t xml:space="preserve"> de la cuenta de inventarios, cuya acumulación aportó 1.66 puntos porcentuales a la variación y sumó </w:t>
      </w:r>
      <w:r w:rsidR="00CF1A4D">
        <w:t>$93.4 billones en el segundo trimestre, lo que estaría reflejando algo de reposición de inventarios desacumulados en periodos previos y quizás</w:t>
      </w:r>
      <w:r>
        <w:t xml:space="preserve"> la </w:t>
      </w:r>
      <w:r>
        <w:lastRenderedPageBreak/>
        <w:t>acumulación de existencias provenientes de expectativas de empresarios que no se satisficieron completamente en el periodo de referencia.</w:t>
      </w:r>
    </w:p>
    <w:p w:rsidR="00D41244" w:rsidRDefault="00730431" w:rsidP="00E71FC9">
      <w:pPr>
        <w:jc w:val="both"/>
      </w:pPr>
      <w:r>
        <w:t>En cuanto a cuentas externas se observó un repunte importante tanto de exportaciones como de importaciones, para los cuales la variación fue de 9.5% y 11.7%, respectivamente, reflejando principalmente mejoras en la demanda interna estadounidense y explicando, por el rubro de importación, parte del comportamiento en acumulación de inventarios.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47"/>
        <w:gridCol w:w="5469"/>
      </w:tblGrid>
      <w:tr w:rsidR="00AE0FD0" w:rsidTr="004E2EAF">
        <w:trPr>
          <w:jc w:val="center"/>
        </w:trPr>
        <w:tc>
          <w:tcPr>
            <w:tcW w:w="5547" w:type="dxa"/>
          </w:tcPr>
          <w:p w:rsidR="00AE0FD0" w:rsidRDefault="004E2EAF" w:rsidP="00AE0FD0">
            <w:pPr>
              <w:jc w:val="center"/>
              <w:rPr>
                <w:rFonts w:ascii="Candara" w:hAnsi="Candara"/>
                <w:b/>
                <w:color w:val="1F497D" w:themeColor="text2"/>
              </w:rPr>
            </w:pPr>
            <w:r>
              <w:rPr>
                <w:rFonts w:ascii="Candara" w:hAnsi="Candara"/>
                <w:b/>
                <w:color w:val="1F497D" w:themeColor="text2"/>
              </w:rPr>
              <w:t>Grandes componentes del PIB</w:t>
            </w:r>
          </w:p>
          <w:p w:rsidR="00AE0FD0" w:rsidRPr="00AE0FD0" w:rsidRDefault="004E2EAF" w:rsidP="00AE0FD0">
            <w:pPr>
              <w:jc w:val="center"/>
              <w:rPr>
                <w:rFonts w:ascii="Candara" w:hAnsi="Candara"/>
                <w:b/>
                <w:color w:val="95B3D7" w:themeColor="accent1" w:themeTint="99"/>
              </w:rPr>
            </w:pPr>
            <w:r>
              <w:rPr>
                <w:rFonts w:ascii="Candara" w:hAnsi="Candara"/>
                <w:b/>
                <w:color w:val="95B3D7" w:themeColor="accent1" w:themeTint="99"/>
              </w:rPr>
              <w:t xml:space="preserve">2013- 2014-1 y 2 </w:t>
            </w:r>
          </w:p>
        </w:tc>
        <w:tc>
          <w:tcPr>
            <w:tcW w:w="5469" w:type="dxa"/>
          </w:tcPr>
          <w:p w:rsidR="00AE0FD0" w:rsidRDefault="00AE0FD0" w:rsidP="00AE0FD0">
            <w:pPr>
              <w:jc w:val="center"/>
              <w:rPr>
                <w:rFonts w:ascii="Candara" w:hAnsi="Candara"/>
                <w:b/>
                <w:color w:val="1F497D" w:themeColor="text2"/>
              </w:rPr>
            </w:pPr>
            <w:r>
              <w:rPr>
                <w:rFonts w:ascii="Candara" w:hAnsi="Candara"/>
                <w:b/>
                <w:color w:val="1F497D" w:themeColor="text2"/>
              </w:rPr>
              <w:t>Revisión en el Gasto en Consumo Personal</w:t>
            </w:r>
          </w:p>
          <w:p w:rsidR="004E2EAF" w:rsidRPr="004E2EAF" w:rsidRDefault="004E2EAF" w:rsidP="00AE0FD0">
            <w:pPr>
              <w:jc w:val="center"/>
              <w:rPr>
                <w:rFonts w:ascii="Candara" w:hAnsi="Candara"/>
                <w:b/>
                <w:color w:val="95B3D7" w:themeColor="accent1" w:themeTint="99"/>
              </w:rPr>
            </w:pPr>
            <w:r w:rsidRPr="004E2EAF">
              <w:rPr>
                <w:rFonts w:ascii="Candara" w:hAnsi="Candara"/>
                <w:b/>
                <w:color w:val="95B3D7" w:themeColor="accent1" w:themeTint="99"/>
              </w:rPr>
              <w:t>Variaciones (%)</w:t>
            </w:r>
          </w:p>
        </w:tc>
      </w:tr>
      <w:tr w:rsidR="00AE0FD0" w:rsidTr="004E2EAF">
        <w:tblPrEx>
          <w:tblCellMar>
            <w:left w:w="70" w:type="dxa"/>
            <w:right w:w="70" w:type="dxa"/>
          </w:tblCellMar>
        </w:tblPrEx>
        <w:trPr>
          <w:jc w:val="center"/>
        </w:trPr>
        <w:tc>
          <w:tcPr>
            <w:tcW w:w="5547" w:type="dxa"/>
          </w:tcPr>
          <w:p w:rsidR="00AE0FD0" w:rsidRDefault="004E2EAF" w:rsidP="00E71FC9">
            <w:pPr>
              <w:jc w:val="both"/>
            </w:pPr>
            <w:r>
              <w:rPr>
                <w:noProof/>
                <w:lang w:eastAsia="es-CO"/>
              </w:rPr>
              <w:drawing>
                <wp:inline distT="0" distB="0" distL="0" distR="0">
                  <wp:extent cx="3414263" cy="2085107"/>
                  <wp:effectExtent l="19050" t="0" r="0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3763" cy="20848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69" w:type="dxa"/>
          </w:tcPr>
          <w:p w:rsidR="00AE0FD0" w:rsidRPr="00AE0FD0" w:rsidRDefault="004E2EAF" w:rsidP="00AE0FD0">
            <w:pPr>
              <w:jc w:val="center"/>
            </w:pPr>
            <w:r>
              <w:rPr>
                <w:noProof/>
                <w:lang w:eastAsia="es-CO"/>
              </w:rPr>
              <w:drawing>
                <wp:inline distT="0" distB="0" distL="0" distR="0">
                  <wp:extent cx="2621795" cy="2074750"/>
                  <wp:effectExtent l="19050" t="0" r="7105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6738" cy="20786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E0FD0" w:rsidRDefault="00AE0FD0" w:rsidP="00E71FC9">
      <w:pPr>
        <w:jc w:val="both"/>
      </w:pPr>
    </w:p>
    <w:p w:rsidR="008E7538" w:rsidRDefault="004E2EAF" w:rsidP="007A21F9">
      <w:pPr>
        <w:jc w:val="both"/>
      </w:pPr>
      <w:r>
        <w:t>Así pues, con este nuevo reporte sobre la dinámica económica de Estados Unidos, resaltamos que existen señales de recuperación provenientes de las cifras de consumo personal e importaciones, por otro lado, en el rubro de inversión a pesar de que la mayor contribución provino de la acumulación de inventarios, consideramos que se presentaron recuperaciones y registros favorables en las clasificaciones de inversión fija. De esta manera, la economía estado</w:t>
      </w:r>
      <w:r w:rsidR="007A21F9">
        <w:t>unidense parece estar recuperando dinamismo luego de la afectación atribuida al fenómeno transitorio adverso del clima y sorprendiendo favorablemente al mercado conjunto.</w:t>
      </w:r>
    </w:p>
    <w:p w:rsidR="008C5C19" w:rsidRDefault="007A21F9" w:rsidP="00E71FC9">
      <w:pPr>
        <w:jc w:val="both"/>
      </w:pPr>
      <w:r w:rsidRPr="007A21F9">
        <w:lastRenderedPageBreak/>
        <w:drawing>
          <wp:inline distT="0" distB="0" distL="0" distR="0">
            <wp:extent cx="6675048" cy="8423775"/>
            <wp:effectExtent l="1905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78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8402" cy="8428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C5C19" w:rsidSect="007A21F9">
      <w:pgSz w:w="12240" w:h="15840"/>
      <w:pgMar w:top="1276" w:right="720" w:bottom="1135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ndara">
    <w:panose1 w:val="020E0502030303020204"/>
    <w:charset w:val="00"/>
    <w:family w:val="swiss"/>
    <w:pitch w:val="variable"/>
    <w:sig w:usb0="A00002EF" w:usb1="4000204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71FC9"/>
    <w:rsid w:val="00014E0C"/>
    <w:rsid w:val="001D1FA8"/>
    <w:rsid w:val="00284979"/>
    <w:rsid w:val="002A468E"/>
    <w:rsid w:val="002C7C50"/>
    <w:rsid w:val="002E5F17"/>
    <w:rsid w:val="003679B0"/>
    <w:rsid w:val="00397E9D"/>
    <w:rsid w:val="004E2EAF"/>
    <w:rsid w:val="0055363E"/>
    <w:rsid w:val="005965A0"/>
    <w:rsid w:val="005A27B1"/>
    <w:rsid w:val="006D24AA"/>
    <w:rsid w:val="00730431"/>
    <w:rsid w:val="0077663F"/>
    <w:rsid w:val="007A21F9"/>
    <w:rsid w:val="007C6055"/>
    <w:rsid w:val="008A0B02"/>
    <w:rsid w:val="008C5C19"/>
    <w:rsid w:val="008D1A30"/>
    <w:rsid w:val="008E7538"/>
    <w:rsid w:val="00923C41"/>
    <w:rsid w:val="009B30F9"/>
    <w:rsid w:val="009D76BF"/>
    <w:rsid w:val="009F26D4"/>
    <w:rsid w:val="00A2794B"/>
    <w:rsid w:val="00A95DF6"/>
    <w:rsid w:val="00AA1878"/>
    <w:rsid w:val="00AE0FD0"/>
    <w:rsid w:val="00AE3FB8"/>
    <w:rsid w:val="00B32900"/>
    <w:rsid w:val="00B85A4A"/>
    <w:rsid w:val="00CA36C9"/>
    <w:rsid w:val="00CE0F96"/>
    <w:rsid w:val="00CF1A4D"/>
    <w:rsid w:val="00D41244"/>
    <w:rsid w:val="00E71FC9"/>
    <w:rsid w:val="00FB3EE7"/>
    <w:rsid w:val="00FC30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7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D1A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1A3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9B30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08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microsoft.com/office/2007/relationships/stylesWithEffects" Target="stylesWithEffects.xm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550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ultrabursatiles</Company>
  <LinksUpToDate>false</LinksUpToDate>
  <CharactersWithSpaces>3572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Jpirajan</cp:lastModifiedBy>
  <cp:revision>4</cp:revision>
  <cp:lastPrinted>2014-06-25T20:26:00Z</cp:lastPrinted>
  <dcterms:created xsi:type="dcterms:W3CDTF">2014-06-25T20:01:00Z</dcterms:created>
  <dcterms:modified xsi:type="dcterms:W3CDTF">2014-07-30T15:16:00Z</dcterms:modified>
</cp:coreProperties>
</file>