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979" w:rsidRPr="008C5C19" w:rsidRDefault="00284979" w:rsidP="00284979">
      <w:pPr>
        <w:jc w:val="center"/>
        <w:rPr>
          <w:rFonts w:ascii="Franklin Gothic Medium" w:hAnsi="Franklin Gothic Medium"/>
          <w:b/>
          <w:color w:val="1F497D" w:themeColor="text2"/>
          <w:sz w:val="28"/>
        </w:rPr>
      </w:pPr>
      <w:r w:rsidRPr="008C5C19">
        <w:rPr>
          <w:rFonts w:ascii="Franklin Gothic Medium" w:hAnsi="Franklin Gothic Medium"/>
          <w:b/>
          <w:color w:val="1F497D" w:themeColor="text2"/>
          <w:sz w:val="28"/>
        </w:rPr>
        <w:t xml:space="preserve">Revisiones y aspectos fundamentales del PIB </w:t>
      </w:r>
    </w:p>
    <w:p w:rsidR="00284979" w:rsidRPr="00AA1878" w:rsidRDefault="00284979" w:rsidP="00284979">
      <w:pPr>
        <w:jc w:val="center"/>
        <w:rPr>
          <w:rFonts w:ascii="Franklin Gothic Medium" w:hAnsi="Franklin Gothic Medium"/>
          <w:b/>
          <w:color w:val="808080" w:themeColor="background1" w:themeShade="80"/>
          <w:sz w:val="28"/>
        </w:rPr>
      </w:pPr>
      <w:r w:rsidRPr="00AA1878">
        <w:rPr>
          <w:rFonts w:ascii="Franklin Gothic Medium" w:hAnsi="Franklin Gothic Medium"/>
          <w:b/>
          <w:color w:val="808080" w:themeColor="background1" w:themeShade="80"/>
          <w:sz w:val="28"/>
        </w:rPr>
        <w:t xml:space="preserve">Estados Unidos - Primer trimestre de 2014 </w:t>
      </w:r>
    </w:p>
    <w:p w:rsidR="002A468E" w:rsidRDefault="00E71FC9" w:rsidP="00E71FC9">
      <w:pPr>
        <w:jc w:val="both"/>
      </w:pPr>
      <w:r>
        <w:t xml:space="preserve">El PIB del primer trimestre de 2014 de la economía estadounidense fue revisado nuevamente a la baja, pasando de un registro previo de -1.0% a uno de -2.9% en su tercera y última estimación.  Luego de conocer </w:t>
      </w:r>
      <w:r w:rsidR="008D1A30">
        <w:t>la más reciente información vemos que el retroceso se explica principalmente por el debilitamiento</w:t>
      </w:r>
      <w:r w:rsidR="002A468E">
        <w:t xml:space="preserve"> en las exportaciones que registraron </w:t>
      </w:r>
      <w:r w:rsidR="008E7538">
        <w:t>un descenso</w:t>
      </w:r>
      <w:r w:rsidR="002A468E">
        <w:t xml:space="preserve"> de -8.9%, una importante caída en la inversión privada  de -11.7% y por la contracción de 0.8% en el gasto total del Gobierno. De igual manera, luego de esta revisión el rubro de consumo personal registró </w:t>
      </w:r>
      <w:r w:rsidR="00AA1878">
        <w:t>una fortaleza menor</w:t>
      </w:r>
      <w:r w:rsidR="002A468E">
        <w:t xml:space="preserve"> </w:t>
      </w:r>
      <w:r w:rsidR="00AA1878">
        <w:t xml:space="preserve">a la </w:t>
      </w:r>
      <w:r w:rsidR="002A468E">
        <w:t>inicialmente proyectada y avanzó 1.0% desde el 3.</w:t>
      </w:r>
      <w:r w:rsidR="00B85A4A">
        <w:t>10% de la lectura previa</w:t>
      </w:r>
      <w:r w:rsidR="002A468E">
        <w:t>.</w:t>
      </w:r>
      <w:r w:rsidR="001D1FA8" w:rsidRPr="001D1FA8">
        <w:t xml:space="preserve"> </w:t>
      </w:r>
    </w:p>
    <w:tbl>
      <w:tblPr>
        <w:tblStyle w:val="Tablaconcuadrcula"/>
        <w:tblW w:w="9426" w:type="dxa"/>
        <w:jc w:val="center"/>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9"/>
        <w:gridCol w:w="4937"/>
      </w:tblGrid>
      <w:tr w:rsidR="009B30F9" w:rsidTr="008C5C19">
        <w:trPr>
          <w:jc w:val="center"/>
        </w:trPr>
        <w:tc>
          <w:tcPr>
            <w:tcW w:w="4489" w:type="dxa"/>
          </w:tcPr>
          <w:p w:rsidR="009B30F9" w:rsidRPr="009B30F9" w:rsidRDefault="009B30F9" w:rsidP="009B30F9">
            <w:pPr>
              <w:jc w:val="center"/>
              <w:rPr>
                <w:rFonts w:ascii="Candara" w:hAnsi="Candara"/>
                <w:b/>
                <w:color w:val="002060"/>
              </w:rPr>
            </w:pPr>
            <w:r w:rsidRPr="009B30F9">
              <w:rPr>
                <w:rFonts w:ascii="Candara" w:hAnsi="Candara"/>
                <w:b/>
                <w:color w:val="002060"/>
              </w:rPr>
              <w:t>Variaciones anualizadas por trimestres</w:t>
            </w:r>
          </w:p>
        </w:tc>
        <w:tc>
          <w:tcPr>
            <w:tcW w:w="4937" w:type="dxa"/>
          </w:tcPr>
          <w:p w:rsidR="009B30F9" w:rsidRPr="009B30F9" w:rsidRDefault="009B30F9" w:rsidP="009B30F9">
            <w:pPr>
              <w:jc w:val="center"/>
              <w:rPr>
                <w:rFonts w:ascii="Candara" w:hAnsi="Candara"/>
                <w:b/>
                <w:color w:val="002060"/>
              </w:rPr>
            </w:pPr>
            <w:r w:rsidRPr="009B30F9">
              <w:rPr>
                <w:rFonts w:ascii="Candara" w:hAnsi="Candara"/>
                <w:b/>
                <w:color w:val="002060"/>
              </w:rPr>
              <w:t>Variación y Contribución a la Variación</w:t>
            </w:r>
          </w:p>
          <w:p w:rsidR="009B30F9" w:rsidRPr="009B30F9" w:rsidRDefault="009B30F9" w:rsidP="009B30F9">
            <w:pPr>
              <w:jc w:val="center"/>
              <w:rPr>
                <w:b/>
                <w:color w:val="95B3D7" w:themeColor="accent1" w:themeTint="99"/>
              </w:rPr>
            </w:pPr>
            <w:r w:rsidRPr="009B30F9">
              <w:rPr>
                <w:rFonts w:ascii="Candara" w:hAnsi="Candara"/>
                <w:b/>
                <w:color w:val="95B3D7" w:themeColor="accent1" w:themeTint="99"/>
              </w:rPr>
              <w:t>PIB 1T 2014-06-25</w:t>
            </w:r>
          </w:p>
        </w:tc>
      </w:tr>
      <w:tr w:rsidR="009B30F9" w:rsidTr="008C5C19">
        <w:tblPrEx>
          <w:tblCellMar>
            <w:left w:w="70" w:type="dxa"/>
            <w:right w:w="70" w:type="dxa"/>
          </w:tblCellMar>
        </w:tblPrEx>
        <w:trPr>
          <w:jc w:val="center"/>
        </w:trPr>
        <w:tc>
          <w:tcPr>
            <w:tcW w:w="4489" w:type="dxa"/>
          </w:tcPr>
          <w:p w:rsidR="009B30F9" w:rsidRDefault="00AE3FB8" w:rsidP="00AE3FB8">
            <w:pPr>
              <w:jc w:val="center"/>
            </w:pPr>
            <w:r>
              <w:rPr>
                <w:noProof/>
                <w:lang w:eastAsia="es-CO"/>
              </w:rPr>
              <w:drawing>
                <wp:inline distT="0" distB="0" distL="0" distR="0">
                  <wp:extent cx="2643682" cy="2135716"/>
                  <wp:effectExtent l="19050" t="0" r="4268" b="0"/>
                  <wp:docPr id="7"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rcRect l="8001" t="2789" r="7797" b="2590"/>
                          <a:stretch>
                            <a:fillRect/>
                          </a:stretch>
                        </pic:blipFill>
                        <pic:spPr>
                          <a:xfrm>
                            <a:off x="0" y="0"/>
                            <a:ext cx="2643951" cy="2135933"/>
                          </a:xfrm>
                          <a:prstGeom prst="rect">
                            <a:avLst/>
                          </a:prstGeom>
                        </pic:spPr>
                      </pic:pic>
                    </a:graphicData>
                  </a:graphic>
                </wp:inline>
              </w:drawing>
            </w:r>
          </w:p>
        </w:tc>
        <w:tc>
          <w:tcPr>
            <w:tcW w:w="4937" w:type="dxa"/>
          </w:tcPr>
          <w:p w:rsidR="009B30F9" w:rsidRDefault="009B30F9" w:rsidP="00AE3FB8">
            <w:pPr>
              <w:jc w:val="center"/>
            </w:pPr>
            <w:r w:rsidRPr="009B30F9">
              <w:rPr>
                <w:noProof/>
                <w:lang w:eastAsia="es-CO"/>
              </w:rPr>
              <w:drawing>
                <wp:inline distT="0" distB="0" distL="0" distR="0">
                  <wp:extent cx="2672943" cy="1865376"/>
                  <wp:effectExtent l="19050" t="0" r="0" b="0"/>
                  <wp:docPr id="6"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679345" cy="1869844"/>
                          </a:xfrm>
                          <a:prstGeom prst="rect">
                            <a:avLst/>
                          </a:prstGeom>
                        </pic:spPr>
                      </pic:pic>
                    </a:graphicData>
                  </a:graphic>
                </wp:inline>
              </w:drawing>
            </w:r>
          </w:p>
        </w:tc>
      </w:tr>
    </w:tbl>
    <w:p w:rsidR="002A468E" w:rsidRPr="00AE3FB8" w:rsidRDefault="002A468E" w:rsidP="00E71FC9">
      <w:pPr>
        <w:jc w:val="both"/>
        <w:rPr>
          <w:rFonts w:ascii="Century Gothic" w:hAnsi="Century Gothic"/>
          <w:b/>
          <w:color w:val="1F497D" w:themeColor="text2"/>
        </w:rPr>
      </w:pPr>
    </w:p>
    <w:p w:rsidR="002C7C50" w:rsidRDefault="00AE3FB8" w:rsidP="00E71FC9">
      <w:pPr>
        <w:jc w:val="both"/>
        <w:rPr>
          <w:rFonts w:ascii="Century Gothic" w:hAnsi="Century Gothic"/>
          <w:b/>
          <w:color w:val="1F497D" w:themeColor="text2"/>
        </w:rPr>
      </w:pPr>
      <w:r w:rsidRPr="00AE3FB8">
        <w:rPr>
          <w:rFonts w:ascii="Century Gothic" w:hAnsi="Century Gothic"/>
          <w:b/>
          <w:color w:val="1F497D" w:themeColor="text2"/>
        </w:rPr>
        <w:t>Comportamiento por rubros y principales revisiones</w:t>
      </w:r>
      <w:r w:rsidR="002C7C50">
        <w:rPr>
          <w:rFonts w:ascii="Century Gothic" w:hAnsi="Century Gothic"/>
          <w:b/>
          <w:color w:val="1F497D" w:themeColor="text2"/>
        </w:rPr>
        <w:t>:</w:t>
      </w:r>
    </w:p>
    <w:p w:rsidR="002C7C50" w:rsidRPr="002C7C50" w:rsidRDefault="002C7C50" w:rsidP="00E71FC9">
      <w:pPr>
        <w:jc w:val="both"/>
        <w:rPr>
          <w:rFonts w:ascii="Century Gothic" w:hAnsi="Century Gothic"/>
          <w:b/>
          <w:color w:val="1F497D" w:themeColor="text2"/>
        </w:rPr>
      </w:pPr>
      <w:r w:rsidRPr="002C7C50">
        <w:t>Las revisiones que más deterioraron el comportamiento del trimestre provienen de los rubros de gasto en consumo personal y el balance externo, especialmente exportaciones.</w:t>
      </w:r>
      <w:r>
        <w:t xml:space="preserve"> </w:t>
      </w:r>
    </w:p>
    <w:p w:rsidR="00AE3FB8" w:rsidRDefault="00923C41" w:rsidP="00E71FC9">
      <w:pPr>
        <w:jc w:val="both"/>
      </w:pPr>
      <w:r>
        <w:t>Específicamente</w:t>
      </w:r>
      <w:r w:rsidR="002C7C50">
        <w:t>,</w:t>
      </w:r>
      <w:r w:rsidR="00AE3FB8">
        <w:t xml:space="preserve"> el gasto en consumo personal perdió dinámica respecto a los trimestres previos por la baja de 0.3% en el consumo de bienes no durables</w:t>
      </w:r>
      <w:r w:rsidR="00AE0FD0">
        <w:t xml:space="preserve"> y sufrió una sensible baja en su expansión luego de la última revisión por caídas en todos los rubros </w:t>
      </w:r>
      <w:r w:rsidR="00AA1878">
        <w:t>siendo los más significativos s</w:t>
      </w:r>
      <w:r w:rsidR="00A95DF6">
        <w:t>ervicios y consumo no durable</w:t>
      </w:r>
      <w:r w:rsidR="0055363E">
        <w:t xml:space="preserve">, cuando se enfatiza en el servicios, los servicios de recreación (-2.5%) y el gasto en salud (-1.4%) presentaron los mayores retrocesos y aporte negativo conjunto de 16 </w:t>
      </w:r>
      <w:proofErr w:type="spellStart"/>
      <w:r w:rsidR="0055363E">
        <w:t>pb</w:t>
      </w:r>
      <w:proofErr w:type="spellEnd"/>
      <w:r w:rsidR="0055363E">
        <w:t xml:space="preserve"> sobre la variación del consumo personal</w:t>
      </w:r>
      <w:r w:rsidR="00A95DF6">
        <w:t>.</w:t>
      </w:r>
      <w:r w:rsidR="009F26D4">
        <w:t xml:space="preserve"> </w:t>
      </w:r>
      <w:r w:rsidR="0055363E">
        <w:t>De esta manera, e</w:t>
      </w:r>
      <w:r w:rsidR="009F26D4">
        <w:t>n conjunto</w:t>
      </w:r>
      <w:r w:rsidR="0055363E">
        <w:t xml:space="preserve"> el consumo</w:t>
      </w:r>
      <w:r w:rsidR="009F26D4">
        <w:t xml:space="preserve"> dejó de contribuir 209 </w:t>
      </w:r>
      <w:proofErr w:type="spellStart"/>
      <w:r w:rsidR="009F26D4">
        <w:t>pb</w:t>
      </w:r>
      <w:proofErr w:type="spellEnd"/>
      <w:r w:rsidR="009F26D4">
        <w:t xml:space="preserve"> a la variación a contribuir 70 </w:t>
      </w:r>
      <w:proofErr w:type="spellStart"/>
      <w:r w:rsidR="009F26D4">
        <w:t>pbs</w:t>
      </w:r>
      <w:proofErr w:type="spellEnd"/>
      <w:r w:rsidR="009F26D4">
        <w:t xml:space="preserve"> con la revisión.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410"/>
      </w:tblGrid>
      <w:tr w:rsidR="00AE0FD0" w:rsidTr="008C5C19">
        <w:trPr>
          <w:jc w:val="center"/>
        </w:trPr>
        <w:tc>
          <w:tcPr>
            <w:tcW w:w="4644" w:type="dxa"/>
          </w:tcPr>
          <w:p w:rsidR="00AE0FD0" w:rsidRDefault="00AE0FD0" w:rsidP="00AE0FD0">
            <w:pPr>
              <w:jc w:val="center"/>
              <w:rPr>
                <w:rFonts w:ascii="Candara" w:hAnsi="Candara"/>
                <w:b/>
                <w:color w:val="1F497D" w:themeColor="text2"/>
              </w:rPr>
            </w:pPr>
            <w:r w:rsidRPr="00AE0FD0">
              <w:rPr>
                <w:rFonts w:ascii="Candara" w:hAnsi="Candara"/>
                <w:b/>
                <w:color w:val="1F497D" w:themeColor="text2"/>
              </w:rPr>
              <w:t>Revisiones del PIB</w:t>
            </w:r>
          </w:p>
          <w:p w:rsidR="00AE0FD0" w:rsidRPr="00AE0FD0" w:rsidRDefault="00AE0FD0" w:rsidP="00AE0FD0">
            <w:pPr>
              <w:jc w:val="center"/>
              <w:rPr>
                <w:rFonts w:ascii="Candara" w:hAnsi="Candara"/>
                <w:b/>
                <w:color w:val="95B3D7" w:themeColor="accent1" w:themeTint="99"/>
              </w:rPr>
            </w:pPr>
            <w:r w:rsidRPr="00AE0FD0">
              <w:rPr>
                <w:rFonts w:ascii="Candara" w:hAnsi="Candara"/>
                <w:b/>
                <w:color w:val="95B3D7" w:themeColor="accent1" w:themeTint="99"/>
              </w:rPr>
              <w:t>primer trimestre de 2014</w:t>
            </w:r>
          </w:p>
        </w:tc>
        <w:tc>
          <w:tcPr>
            <w:tcW w:w="4410" w:type="dxa"/>
          </w:tcPr>
          <w:p w:rsidR="00AE0FD0" w:rsidRPr="00AE0FD0" w:rsidRDefault="00AE0FD0" w:rsidP="00AE0FD0">
            <w:pPr>
              <w:jc w:val="center"/>
              <w:rPr>
                <w:rFonts w:ascii="Candara" w:hAnsi="Candara"/>
                <w:b/>
                <w:color w:val="1F497D" w:themeColor="text2"/>
              </w:rPr>
            </w:pPr>
            <w:r>
              <w:rPr>
                <w:rFonts w:ascii="Candara" w:hAnsi="Candara"/>
                <w:b/>
                <w:color w:val="1F497D" w:themeColor="text2"/>
              </w:rPr>
              <w:t>Revisión en el Gasto en Consumo Personal</w:t>
            </w:r>
          </w:p>
        </w:tc>
      </w:tr>
      <w:tr w:rsidR="00AE0FD0" w:rsidTr="008C5C19">
        <w:trPr>
          <w:jc w:val="center"/>
        </w:trPr>
        <w:tc>
          <w:tcPr>
            <w:tcW w:w="4644" w:type="dxa"/>
          </w:tcPr>
          <w:p w:rsidR="00AE0FD0" w:rsidRDefault="00AE0FD0" w:rsidP="00E71FC9">
            <w:pPr>
              <w:jc w:val="both"/>
            </w:pPr>
            <w:r w:rsidRPr="00AE0FD0">
              <w:rPr>
                <w:noProof/>
                <w:lang w:eastAsia="es-CO"/>
              </w:rPr>
              <w:drawing>
                <wp:inline distT="0" distB="0" distL="0" distR="0">
                  <wp:extent cx="2746095" cy="1284674"/>
                  <wp:effectExtent l="19050" t="0" r="0" b="0"/>
                  <wp:docPr id="1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745658" cy="1284470"/>
                          </a:xfrm>
                          <a:prstGeom prst="rect">
                            <a:avLst/>
                          </a:prstGeom>
                        </pic:spPr>
                      </pic:pic>
                    </a:graphicData>
                  </a:graphic>
                </wp:inline>
              </w:drawing>
            </w:r>
          </w:p>
        </w:tc>
        <w:tc>
          <w:tcPr>
            <w:tcW w:w="4410" w:type="dxa"/>
          </w:tcPr>
          <w:p w:rsidR="00AE0FD0" w:rsidRPr="00AE0FD0" w:rsidRDefault="00AE0FD0" w:rsidP="00AE0FD0">
            <w:pPr>
              <w:jc w:val="center"/>
            </w:pPr>
            <w:r w:rsidRPr="00AE0FD0">
              <w:rPr>
                <w:noProof/>
                <w:lang w:eastAsia="es-CO"/>
              </w:rPr>
              <w:drawing>
                <wp:inline distT="0" distB="0" distL="0" distR="0">
                  <wp:extent cx="2095043" cy="1345997"/>
                  <wp:effectExtent l="19050" t="0" r="457" b="0"/>
                  <wp:docPr id="13"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101310" cy="1350024"/>
                          </a:xfrm>
                          <a:prstGeom prst="rect">
                            <a:avLst/>
                          </a:prstGeom>
                        </pic:spPr>
                      </pic:pic>
                    </a:graphicData>
                  </a:graphic>
                </wp:inline>
              </w:drawing>
            </w:r>
          </w:p>
        </w:tc>
      </w:tr>
    </w:tbl>
    <w:p w:rsidR="00AE0FD0" w:rsidRDefault="00AE0FD0" w:rsidP="00E71FC9">
      <w:pPr>
        <w:jc w:val="both"/>
      </w:pPr>
    </w:p>
    <w:p w:rsidR="002C7C50" w:rsidRDefault="00A95DF6" w:rsidP="00E71FC9">
      <w:pPr>
        <w:jc w:val="both"/>
      </w:pPr>
      <w:r>
        <w:lastRenderedPageBreak/>
        <w:t xml:space="preserve">El balance de comercio también se vio deteriorado con la revisión, en primer lugar las exportaciones registraron un retroceso de 8.9% desde el </w:t>
      </w:r>
      <w:r w:rsidR="00923C41">
        <w:t xml:space="preserve">retroceso del </w:t>
      </w:r>
      <w:r>
        <w:t xml:space="preserve">6.0% previo con deterioro en las exportaciones de bienes que pasan de </w:t>
      </w:r>
      <w:r w:rsidR="009F26D4">
        <w:t>contraerse 9.8% a contraerse 11.4</w:t>
      </w:r>
      <w:r>
        <w:t>%</w:t>
      </w:r>
      <w:r w:rsidR="009F26D4">
        <w:t xml:space="preserve">, mientras que en servicios se pasa de una contracción de 3.20% a una contracción de 2.9%. Por su parte las importaciones aumentan del 1% al 1.9% para bienes y de -0.6% a 1.30% para servicios. </w:t>
      </w:r>
      <w:r w:rsidR="00CA36C9">
        <w:t xml:space="preserve">De esta manera, </w:t>
      </w:r>
      <w:r w:rsidR="002E5F17">
        <w:t xml:space="preserve">las exportaciones aumentan su contribución negativa de 83pb a 125 </w:t>
      </w:r>
      <w:proofErr w:type="spellStart"/>
      <w:r w:rsidR="002E5F17">
        <w:t>pb</w:t>
      </w:r>
      <w:proofErr w:type="spellEnd"/>
      <w:r w:rsidR="002E5F17">
        <w:t xml:space="preserve"> de la variación.</w:t>
      </w:r>
    </w:p>
    <w:p w:rsidR="002C7C50" w:rsidRDefault="00AA1878" w:rsidP="00E71FC9">
      <w:pPr>
        <w:jc w:val="both"/>
      </w:pPr>
      <w:bookmarkStart w:id="0" w:name="_GoBack"/>
      <w:bookmarkEnd w:id="0"/>
      <w:r>
        <w:t>Así pues</w:t>
      </w:r>
      <w:r w:rsidR="002C7C50">
        <w:t xml:space="preserve">, luego de este último reporte sobre la dinámica económica de Estados Unidos resaltamos que el gasto en consumo personal no fue tan dinámico como inicialmente se publicó, de igual manera, hubo un deterioro en el balance externo. Por su parte, el gasto del Gobierno y la Inversión privada no presentaron mayores cambios respecto a las lecturas previas, sin embargo, si existe  mayor debilidad en el último rubro respecto a los trimestres previos explicada por caídas generalizadas en la inversión fija </w:t>
      </w:r>
      <w:r w:rsidR="005965A0">
        <w:t>residencial y no residencial.</w:t>
      </w:r>
    </w:p>
    <w:p w:rsidR="008E7538" w:rsidRDefault="008E7538" w:rsidP="00E71FC9">
      <w:pPr>
        <w:jc w:val="both"/>
      </w:pPr>
      <w:r>
        <w:t xml:space="preserve">Finalmente, el registro para el segundo trimestre del año, al presentarse como la variación del trimestre anualizada y contar con una baja base de comparación para el primer trimestre del año, sea mayor al esperado por analistas (3,5% según encuesta de </w:t>
      </w:r>
      <w:proofErr w:type="spellStart"/>
      <w:r>
        <w:t>Bloomberg</w:t>
      </w:r>
      <w:proofErr w:type="spellEnd"/>
      <w:r>
        <w:t>).  En este orden de ideas, si la afectación, como parece haber sido, fue ocasionada por un fenómeno transitorio adverso como el clima, es de esperar que se presente un rebote fuerte para el segundo trimestre.</w:t>
      </w:r>
    </w:p>
    <w:p w:rsidR="008C5C19" w:rsidRDefault="008C5C19" w:rsidP="00E71FC9">
      <w:pPr>
        <w:jc w:val="both"/>
      </w:pPr>
      <w:r w:rsidRPr="008C5C19">
        <w:rPr>
          <w:noProof/>
          <w:lang w:eastAsia="es-CO"/>
        </w:rPr>
        <w:lastRenderedPageBreak/>
        <w:drawing>
          <wp:inline distT="0" distB="0" distL="0" distR="0">
            <wp:extent cx="6657795" cy="8893834"/>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736" t="601" r="3791" b="2302"/>
                    <a:stretch>
                      <a:fillRect/>
                    </a:stretch>
                  </pic:blipFill>
                  <pic:spPr bwMode="auto">
                    <a:xfrm>
                      <a:off x="0" y="0"/>
                      <a:ext cx="6657795" cy="8893834"/>
                    </a:xfrm>
                    <a:prstGeom prst="rect">
                      <a:avLst/>
                    </a:prstGeom>
                    <a:noFill/>
                    <a:ln w="9525">
                      <a:noFill/>
                      <a:miter lim="800000"/>
                      <a:headEnd/>
                      <a:tailEnd/>
                    </a:ln>
                  </pic:spPr>
                </pic:pic>
              </a:graphicData>
            </a:graphic>
          </wp:inline>
        </w:drawing>
      </w:r>
    </w:p>
    <w:sectPr w:rsidR="008C5C19" w:rsidSect="008C5C1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ranklin Gothic Medium">
    <w:panose1 w:val="020B06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2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E71FC9"/>
    <w:rsid w:val="001D1FA8"/>
    <w:rsid w:val="00284979"/>
    <w:rsid w:val="002A468E"/>
    <w:rsid w:val="002C7C50"/>
    <w:rsid w:val="002E5F17"/>
    <w:rsid w:val="00397E9D"/>
    <w:rsid w:val="0055363E"/>
    <w:rsid w:val="005965A0"/>
    <w:rsid w:val="006D24AA"/>
    <w:rsid w:val="007C6055"/>
    <w:rsid w:val="008C5C19"/>
    <w:rsid w:val="008D1A30"/>
    <w:rsid w:val="008E7538"/>
    <w:rsid w:val="00923C41"/>
    <w:rsid w:val="009B30F9"/>
    <w:rsid w:val="009F26D4"/>
    <w:rsid w:val="00A2794B"/>
    <w:rsid w:val="00A95DF6"/>
    <w:rsid w:val="00AA1878"/>
    <w:rsid w:val="00AE0FD0"/>
    <w:rsid w:val="00AE3FB8"/>
    <w:rsid w:val="00B32900"/>
    <w:rsid w:val="00B85A4A"/>
    <w:rsid w:val="00CA36C9"/>
    <w:rsid w:val="00CE0F96"/>
    <w:rsid w:val="00E71FC9"/>
    <w:rsid w:val="00FB3EE7"/>
    <w:rsid w:val="00FC3070"/>
  </w:rsids>
  <m:mathPr>
    <m:mathFont m:val="Cambria Math"/>
    <m:brkBin m:val="before"/>
    <m:brkBinSub m:val="--"/>
    <m:smallFrac m:val="off"/>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1A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1A30"/>
    <w:rPr>
      <w:rFonts w:ascii="Tahoma" w:hAnsi="Tahoma" w:cs="Tahoma"/>
      <w:sz w:val="16"/>
      <w:szCs w:val="16"/>
    </w:rPr>
  </w:style>
  <w:style w:type="table" w:styleId="Tablaconcuadrcula">
    <w:name w:val="Table Grid"/>
    <w:basedOn w:val="Tablanormal"/>
    <w:uiPriority w:val="59"/>
    <w:rsid w:val="009B3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0820089">
      <w:bodyDiv w:val="1"/>
      <w:marLeft w:val="0"/>
      <w:marRight w:val="0"/>
      <w:marTop w:val="0"/>
      <w:marBottom w:val="0"/>
      <w:divBdr>
        <w:top w:val="none" w:sz="0" w:space="0" w:color="auto"/>
        <w:left w:val="none" w:sz="0" w:space="0" w:color="auto"/>
        <w:bottom w:val="none" w:sz="0" w:space="0" w:color="auto"/>
        <w:right w:val="none" w:sz="0" w:space="0" w:color="auto"/>
      </w:divBdr>
    </w:div>
    <w:div w:id="10376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stylesWithEffects" Target="stylesWithEffec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520</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ultrabursatiles</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Jpirajan</cp:lastModifiedBy>
  <cp:revision>3</cp:revision>
  <cp:lastPrinted>2014-06-25T20:26:00Z</cp:lastPrinted>
  <dcterms:created xsi:type="dcterms:W3CDTF">2014-06-25T20:01:00Z</dcterms:created>
  <dcterms:modified xsi:type="dcterms:W3CDTF">2014-06-25T20:28:00Z</dcterms:modified>
</cp:coreProperties>
</file>