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F658" w14:textId="3465C5DA" w:rsidR="00CC2EF9" w:rsidRPr="00AE3A6E" w:rsidRDefault="00AE3A6E" w:rsidP="00E731EA">
      <w:pPr>
        <w:pStyle w:val="Title"/>
        <w:jc w:val="center"/>
        <w:rPr>
          <w:lang w:val="en-US"/>
        </w:rPr>
      </w:pPr>
      <w:r w:rsidRPr="00AE3A6E">
        <w:rPr>
          <w:lang w:val="en-US"/>
        </w:rPr>
        <w:t>Model Description</w:t>
      </w:r>
    </w:p>
    <w:p w14:paraId="7A473020" w14:textId="45B87AFD" w:rsidR="00AE3A6E" w:rsidRDefault="00AE3A6E" w:rsidP="00E731EA">
      <w:pPr>
        <w:pStyle w:val="Heading1"/>
        <w:rPr>
          <w:b w:val="0"/>
          <w:lang w:val="en-US"/>
        </w:rPr>
      </w:pPr>
      <w:r w:rsidRPr="00AE3A6E">
        <w:rPr>
          <w:lang w:val="en-US"/>
        </w:rPr>
        <w:t>Objective Function:</w:t>
      </w:r>
    </w:p>
    <w:p w14:paraId="0692E9FC" w14:textId="7D3AE350" w:rsidR="00AE3A6E" w:rsidRPr="00E731EA" w:rsidRDefault="00E731EA" w:rsidP="00AE3A6E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Total Cost(y)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</m:e>
          </m:nary>
        </m:oMath>
      </m:oMathPara>
    </w:p>
    <w:p w14:paraId="0D163B16" w14:textId="4A2CC0A1" w:rsidR="00AE3A6E" w:rsidRDefault="00E02F6D" w:rsidP="00E02F6D">
      <w:pPr>
        <w:rPr>
          <w:lang w:val="en-US"/>
        </w:rPr>
      </w:pPr>
      <w:r w:rsidRPr="00E02F6D">
        <w:rPr>
          <w:b/>
          <w:bCs/>
          <w:i/>
          <w:iCs/>
          <w:u w:val="single"/>
          <w:lang w:val="en-US"/>
        </w:rPr>
        <w:t>r</w:t>
      </w:r>
      <w:r>
        <w:rPr>
          <w:lang w:val="en-US"/>
        </w:rPr>
        <w:t xml:space="preserve"> denotes the discount rate; </w:t>
      </w:r>
      <w:r w:rsidRPr="00E02F6D">
        <w:rPr>
          <w:b/>
          <w:bCs/>
          <w:i/>
          <w:iCs/>
          <w:u w:val="single"/>
          <w:lang w:val="en-US"/>
        </w:rPr>
        <w:t xml:space="preserve">y </w:t>
      </w:r>
      <w:r>
        <w:rPr>
          <w:lang w:val="en-US"/>
        </w:rPr>
        <w:t>denotes the year; The objective function is to minimize the total discounted cost for each year.</w:t>
      </w:r>
    </w:p>
    <w:p w14:paraId="7E4CFA3E" w14:textId="59EC68D6" w:rsidR="00E02F6D" w:rsidRPr="00E02F6D" w:rsidRDefault="00E02F6D" w:rsidP="00E02F6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Total Cost(y) = Investment Cost(y) + O&amp;M cost(y) + Fuel Cost(y)</m:t>
          </m:r>
        </m:oMath>
      </m:oMathPara>
    </w:p>
    <w:p w14:paraId="69317DA9" w14:textId="4CB58CD5" w:rsidR="00AE3A6E" w:rsidRPr="00AE3A6E" w:rsidRDefault="00AE3A6E" w:rsidP="00947B7B">
      <w:pPr>
        <w:pStyle w:val="Bullet"/>
      </w:pPr>
      <w:r w:rsidRPr="00AE3A6E">
        <w:t>Investment Cost</w:t>
      </w:r>
    </w:p>
    <w:p w14:paraId="547B2A2A" w14:textId="7094AB4B" w:rsidR="00AE3A6E" w:rsidRPr="000F2403" w:rsidRDefault="000F2403" w:rsidP="00AE3A6E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Investment Cost=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new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inv</m:t>
              </m:r>
            </m:sup>
          </m:sSubSup>
        </m:oMath>
      </m:oMathPara>
    </w:p>
    <w:p w14:paraId="648CC37B" w14:textId="3A18815B" w:rsidR="00E02F6D" w:rsidRPr="00E02F6D" w:rsidRDefault="00E02F6D" w:rsidP="00E02F6D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new</w:t>
      </w:r>
      <w:proofErr w:type="spellEnd"/>
      <w:r>
        <w:rPr>
          <w:lang w:val="en-US"/>
        </w:rPr>
        <w:t xml:space="preserve"> denotes the new capacity built in year y; </w:t>
      </w:r>
      <w:proofErr w:type="spellStart"/>
      <w:r>
        <w:rPr>
          <w:b/>
          <w:bCs/>
          <w:i/>
          <w:iCs/>
          <w:u w:val="single"/>
          <w:lang w:val="en-US"/>
        </w:rPr>
        <w:t>Cost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inv</w:t>
      </w:r>
      <w:proofErr w:type="spellEnd"/>
      <w:r w:rsidRPr="00E02F6D"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denotes the investment cost per unit capacity; The investment cost is </w:t>
      </w:r>
      <w:r w:rsidR="00947B7B">
        <w:rPr>
          <w:lang w:val="en-US"/>
        </w:rPr>
        <w:t>sum of investment for new capacity among all technologies.</w:t>
      </w:r>
    </w:p>
    <w:p w14:paraId="49F9DDCC" w14:textId="53F19892" w:rsidR="00AE3A6E" w:rsidRPr="00947B7B" w:rsidRDefault="00AE3A6E" w:rsidP="00947B7B">
      <w:pPr>
        <w:pStyle w:val="Bullet"/>
      </w:pPr>
      <w:r w:rsidRPr="00947B7B">
        <w:t>O&amp;M Cost</w:t>
      </w:r>
    </w:p>
    <w:p w14:paraId="7146F2DA" w14:textId="53259D58" w:rsidR="00947B7B" w:rsidRPr="000F2403" w:rsidRDefault="000F2403" w:rsidP="00947B7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O&amp;M cost=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opr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O&amp;M</m:t>
                  </m:r>
                </m:sup>
              </m:sSubSup>
            </m:e>
          </m:nary>
        </m:oMath>
      </m:oMathPara>
    </w:p>
    <w:p w14:paraId="264486C3" w14:textId="42EA0AB4" w:rsidR="00947B7B" w:rsidRPr="00E02F6D" w:rsidRDefault="00947B7B" w:rsidP="00947B7B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lang w:val="en-US"/>
        </w:rPr>
        <w:t xml:space="preserve"> denotes the operating capacity in year y; </w:t>
      </w:r>
      <w:proofErr w:type="spellStart"/>
      <w:r>
        <w:rPr>
          <w:b/>
          <w:bCs/>
          <w:i/>
          <w:iCs/>
          <w:u w:val="single"/>
          <w:lang w:val="en-US"/>
        </w:rPr>
        <w:t>Cost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O&amp;M</w:t>
      </w:r>
      <w:proofErr w:type="spellEnd"/>
      <w:r w:rsidRPr="000F2403">
        <w:rPr>
          <w:b/>
          <w:bCs/>
          <w:i/>
          <w:iCs/>
          <w:u w:val="single"/>
          <w:vertAlign w:val="superscript"/>
          <w:lang w:val="en-US"/>
        </w:rPr>
        <w:t xml:space="preserve"> </w:t>
      </w:r>
      <w:r>
        <w:rPr>
          <w:lang w:val="en-US"/>
        </w:rPr>
        <w:t>denotes the O&amp;M cost per unit capacity; The investment cost is sum of O&amp;M cost for operating capacity among all technologies.</w:t>
      </w:r>
    </w:p>
    <w:p w14:paraId="70293120" w14:textId="40F85DB2" w:rsidR="00947B7B" w:rsidRPr="000F2403" w:rsidRDefault="00000000" w:rsidP="00AE3A6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opr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 (y)=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new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(y)+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opr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(y-1)-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(y)</m:t>
          </m:r>
        </m:oMath>
      </m:oMathPara>
    </w:p>
    <w:p w14:paraId="422BEC19" w14:textId="459FCCC1" w:rsidR="00947B7B" w:rsidRPr="00947B7B" w:rsidRDefault="00947B7B" w:rsidP="00AE3A6E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lang w:val="en-US"/>
        </w:rPr>
        <w:t xml:space="preserve"> denotes the operating capacity in year y; </w:t>
      </w: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new</w:t>
      </w:r>
      <w:proofErr w:type="spellEnd"/>
      <w:r>
        <w:rPr>
          <w:lang w:val="en-US"/>
        </w:rPr>
        <w:t xml:space="preserve"> denotes the new capacity built in year </w:t>
      </w:r>
      <w:proofErr w:type="gramStart"/>
      <w:r>
        <w:rPr>
          <w:lang w:val="en-US"/>
        </w:rPr>
        <w:t xml:space="preserve">y;  </w:t>
      </w: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ret</w:t>
      </w:r>
      <w:proofErr w:type="spellEnd"/>
      <w:proofErr w:type="gramEnd"/>
      <w:r w:rsidRPr="000F2403">
        <w:rPr>
          <w:vertAlign w:val="superscript"/>
          <w:lang w:val="en-US"/>
        </w:rPr>
        <w:t xml:space="preserve"> </w:t>
      </w:r>
      <w:r>
        <w:rPr>
          <w:lang w:val="en-US"/>
        </w:rPr>
        <w:t>denotes the retired capacity in year y; The operating capacity in year y is the sum of operating capacity in year y-1 and new built capacity this year and minus the retired capacity this year.</w:t>
      </w:r>
    </w:p>
    <w:p w14:paraId="69D4CD0B" w14:textId="425F41BB" w:rsidR="00E02F6D" w:rsidRPr="00947B7B" w:rsidRDefault="00AE3A6E" w:rsidP="00947B7B">
      <w:pPr>
        <w:pStyle w:val="Bullet"/>
      </w:pPr>
      <w:r w:rsidRPr="00947B7B">
        <w:t>Fuel Cost</w:t>
      </w:r>
    </w:p>
    <w:p w14:paraId="66084167" w14:textId="12766F02" w:rsidR="00E02F6D" w:rsidRPr="000F2403" w:rsidRDefault="000F2403" w:rsidP="00E02F6D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Fuel Cost 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opr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fuel</m:t>
                  </m:r>
                </m:sup>
              </m:sSubSup>
            </m:e>
          </m:nary>
        </m:oMath>
      </m:oMathPara>
    </w:p>
    <w:p w14:paraId="05FF8730" w14:textId="28649007" w:rsidR="00947B7B" w:rsidRPr="00E731EA" w:rsidRDefault="00947B7B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lang w:val="en-US"/>
        </w:rPr>
        <w:t xml:space="preserve"> denotes the operating capacity in year y; </w:t>
      </w:r>
      <w:proofErr w:type="spellStart"/>
      <w:r w:rsidRPr="000F2403">
        <w:rPr>
          <w:b/>
          <w:bCs/>
          <w:i/>
          <w:iCs/>
          <w:u w:val="single"/>
          <w:lang w:val="en-US"/>
        </w:rPr>
        <w:t>Cost</w:t>
      </w:r>
      <w:r w:rsidR="000F2403" w:rsidRPr="000F2403">
        <w:rPr>
          <w:b/>
          <w:bCs/>
          <w:i/>
          <w:iCs/>
          <w:u w:val="single"/>
          <w:vertAlign w:val="superscript"/>
          <w:lang w:val="en-US"/>
        </w:rPr>
        <w:t>fuel</w:t>
      </w:r>
      <w:proofErr w:type="spellEnd"/>
      <w:r w:rsidR="000F2403">
        <w:rPr>
          <w:b/>
          <w:bCs/>
          <w:i/>
          <w:iCs/>
          <w:u w:val="single"/>
          <w:lang w:val="en-US"/>
        </w:rPr>
        <w:t xml:space="preserve"> </w:t>
      </w:r>
      <w:r w:rsidRPr="000F2403">
        <w:rPr>
          <w:lang w:val="en-US"/>
        </w:rPr>
        <w:t>denotes</w:t>
      </w:r>
      <w:r>
        <w:rPr>
          <w:lang w:val="en-US"/>
        </w:rPr>
        <w:t xml:space="preserve"> the fuel cost per unit capacity; The investment cost is sum of fuel cost for operating capacity among all technologies that use fuel.</w:t>
      </w:r>
      <w:r>
        <w:rPr>
          <w:b/>
          <w:bCs/>
          <w:sz w:val="28"/>
          <w:szCs w:val="28"/>
          <w:lang w:val="en-US"/>
        </w:rPr>
        <w:br w:type="page"/>
      </w:r>
    </w:p>
    <w:p w14:paraId="68D5C6CD" w14:textId="1E7EEAB9" w:rsidR="00AE3A6E" w:rsidRPr="00AE3A6E" w:rsidRDefault="00AE3A6E" w:rsidP="00E731EA">
      <w:pPr>
        <w:pStyle w:val="Heading1"/>
        <w:rPr>
          <w:lang w:val="en-US"/>
        </w:rPr>
      </w:pPr>
      <w:r w:rsidRPr="00AE3A6E">
        <w:rPr>
          <w:lang w:val="en-US"/>
        </w:rPr>
        <w:lastRenderedPageBreak/>
        <w:t>Constrains:</w:t>
      </w:r>
    </w:p>
    <w:p w14:paraId="45A92A51" w14:textId="4CCF531C" w:rsidR="00AE3A6E" w:rsidRPr="000F2403" w:rsidRDefault="00AE3A6E" w:rsidP="00AE3A6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E3A6E">
        <w:rPr>
          <w:b/>
          <w:bCs/>
          <w:lang w:val="en-US"/>
        </w:rPr>
        <w:t>Demand Constrains</w:t>
      </w:r>
    </w:p>
    <w:p w14:paraId="5C098BE4" w14:textId="4FB06966" w:rsidR="000F2403" w:rsidRPr="00E731EA" w:rsidRDefault="00E731EA" w:rsidP="000F2403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Demand≤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opr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Efy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nary>
        </m:oMath>
      </m:oMathPara>
    </w:p>
    <w:p w14:paraId="65E9F930" w14:textId="5B17AD20" w:rsidR="000F2403" w:rsidRPr="00E731EA" w:rsidRDefault="000F2403" w:rsidP="00AE3A6E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lang w:val="en-US"/>
        </w:rPr>
        <w:t xml:space="preserve"> denotes the operating capacity in year y; </w:t>
      </w:r>
      <w:proofErr w:type="spellStart"/>
      <w:r w:rsidRPr="000F2403">
        <w:rPr>
          <w:b/>
          <w:bCs/>
          <w:i/>
          <w:iCs/>
          <w:u w:val="single"/>
          <w:lang w:val="en-US"/>
        </w:rPr>
        <w:t>E</w:t>
      </w:r>
      <w:r w:rsidR="00E731EA">
        <w:rPr>
          <w:b/>
          <w:bCs/>
          <w:i/>
          <w:iCs/>
          <w:u w:val="single"/>
          <w:lang w:val="en-US"/>
        </w:rPr>
        <w:t>fy</w:t>
      </w:r>
      <w:r w:rsidRPr="000F2403">
        <w:rPr>
          <w:b/>
          <w:bCs/>
          <w:i/>
          <w:iCs/>
          <w:u w:val="single"/>
          <w:vertAlign w:val="subscript"/>
          <w:lang w:val="en-US"/>
        </w:rPr>
        <w:t>t</w:t>
      </w:r>
      <w:proofErr w:type="spellEnd"/>
      <w:r w:rsidRPr="000F2403"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denotes the </w:t>
      </w:r>
      <w:r w:rsidR="00E731EA">
        <w:rPr>
          <w:lang w:val="en-US"/>
        </w:rPr>
        <w:t>e</w:t>
      </w:r>
      <w:r w:rsidR="00E731EA" w:rsidRPr="00E731EA">
        <w:rPr>
          <w:lang w:val="en-US"/>
        </w:rPr>
        <w:t>fficiency</w:t>
      </w:r>
      <w:r w:rsidR="00E731EA">
        <w:rPr>
          <w:lang w:val="en-US"/>
        </w:rPr>
        <w:t xml:space="preserve"> of a given technology</w:t>
      </w:r>
      <w:r>
        <w:rPr>
          <w:lang w:val="en-US"/>
        </w:rPr>
        <w:t xml:space="preserve">; </w:t>
      </w:r>
      <w:proofErr w:type="spellStart"/>
      <w:r w:rsidR="00E731EA">
        <w:rPr>
          <w:b/>
          <w:bCs/>
          <w:i/>
          <w:iCs/>
          <w:u w:val="single"/>
          <w:lang w:val="en-US"/>
        </w:rPr>
        <w:t>CF</w:t>
      </w:r>
      <w:r w:rsidR="00E731EA" w:rsidRPr="000F2403">
        <w:rPr>
          <w:b/>
          <w:bCs/>
          <w:i/>
          <w:iCs/>
          <w:u w:val="single"/>
          <w:vertAlign w:val="subscript"/>
          <w:lang w:val="en-US"/>
        </w:rPr>
        <w:t>t</w:t>
      </w:r>
      <w:proofErr w:type="spellEnd"/>
      <w:r w:rsidR="00E731EA" w:rsidRPr="000F2403">
        <w:rPr>
          <w:b/>
          <w:bCs/>
          <w:i/>
          <w:iCs/>
          <w:u w:val="single"/>
          <w:lang w:val="en-US"/>
        </w:rPr>
        <w:t xml:space="preserve"> </w:t>
      </w:r>
      <w:r w:rsidR="00E731EA">
        <w:rPr>
          <w:lang w:val="en-US"/>
        </w:rPr>
        <w:t>denotes the Capacity Factor of a given technology, which means their availability throughout a year; The maximum possible supply is the product of the operating capacity, the e</w:t>
      </w:r>
      <w:r w:rsidR="00E731EA" w:rsidRPr="00E731EA">
        <w:rPr>
          <w:lang w:val="en-US"/>
        </w:rPr>
        <w:t>fficiency,</w:t>
      </w:r>
      <w:r w:rsidR="00E731EA">
        <w:rPr>
          <w:lang w:val="en-US"/>
        </w:rPr>
        <w:t xml:space="preserve"> and the capacity factor. </w:t>
      </w:r>
      <w:r>
        <w:rPr>
          <w:lang w:val="en-US"/>
        </w:rPr>
        <w:t xml:space="preserve">The total </w:t>
      </w:r>
      <w:r w:rsidR="00E731EA">
        <w:rPr>
          <w:lang w:val="en-US"/>
        </w:rPr>
        <w:t>energy supply</w:t>
      </w:r>
      <w:r>
        <w:rPr>
          <w:lang w:val="en-US"/>
        </w:rPr>
        <w:t xml:space="preserve"> is the sum of </w:t>
      </w:r>
      <w:r w:rsidR="00E731EA">
        <w:rPr>
          <w:lang w:val="en-US"/>
        </w:rPr>
        <w:t>maximum possible supply</w:t>
      </w:r>
      <w:r>
        <w:rPr>
          <w:lang w:val="en-US"/>
        </w:rPr>
        <w:t xml:space="preserve"> from </w:t>
      </w:r>
      <w:r w:rsidR="00E731EA">
        <w:rPr>
          <w:lang w:val="en-US"/>
        </w:rPr>
        <w:t xml:space="preserve">all </w:t>
      </w:r>
      <w:r>
        <w:rPr>
          <w:lang w:val="en-US"/>
        </w:rPr>
        <w:t xml:space="preserve">operating capacity among technologies. And it should be </w:t>
      </w:r>
      <w:r w:rsidR="00E731EA">
        <w:rPr>
          <w:lang w:val="en-US"/>
        </w:rPr>
        <w:t>larger</w:t>
      </w:r>
      <w:r>
        <w:rPr>
          <w:lang w:val="en-US"/>
        </w:rPr>
        <w:t xml:space="preserve"> than the </w:t>
      </w:r>
      <w:r w:rsidR="00E731EA">
        <w:rPr>
          <w:lang w:val="en-US"/>
        </w:rPr>
        <w:t>energy demand</w:t>
      </w:r>
      <w:r>
        <w:rPr>
          <w:lang w:val="en-US"/>
        </w:rPr>
        <w:t xml:space="preserve"> set exogenous.</w:t>
      </w:r>
    </w:p>
    <w:p w14:paraId="03D7E831" w14:textId="0228562C" w:rsidR="00947B7B" w:rsidRPr="00947B7B" w:rsidRDefault="00AE3A6E" w:rsidP="00AE3A6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E3A6E">
        <w:rPr>
          <w:b/>
          <w:bCs/>
          <w:lang w:val="en-US"/>
        </w:rPr>
        <w:t>Emission Constrains</w:t>
      </w:r>
    </w:p>
    <w:p w14:paraId="0684D716" w14:textId="7C988B14" w:rsidR="00947B7B" w:rsidRPr="000F2403" w:rsidRDefault="000F2403" w:rsidP="00947B7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Emission Limit≥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opr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nary>
        </m:oMath>
      </m:oMathPara>
    </w:p>
    <w:p w14:paraId="7004E2FC" w14:textId="7FE66C0E" w:rsidR="00947B7B" w:rsidRPr="000F2403" w:rsidRDefault="00947B7B" w:rsidP="00AE3A6E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lang w:val="en-US"/>
        </w:rPr>
        <w:t xml:space="preserve"> denotes the operating capacity in year y; </w:t>
      </w:r>
      <w:proofErr w:type="spellStart"/>
      <w:r w:rsidR="000F2403" w:rsidRPr="000F2403">
        <w:rPr>
          <w:b/>
          <w:bCs/>
          <w:i/>
          <w:iCs/>
          <w:u w:val="single"/>
          <w:lang w:val="en-US"/>
        </w:rPr>
        <w:t>EF</w:t>
      </w:r>
      <w:r w:rsidR="000F2403" w:rsidRPr="000F2403">
        <w:rPr>
          <w:b/>
          <w:bCs/>
          <w:i/>
          <w:iCs/>
          <w:u w:val="single"/>
          <w:vertAlign w:val="subscript"/>
          <w:lang w:val="en-US"/>
        </w:rPr>
        <w:t>t</w:t>
      </w:r>
      <w:proofErr w:type="spellEnd"/>
      <w:r w:rsidR="000F2403" w:rsidRPr="000F2403"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denotes the </w:t>
      </w:r>
      <w:r w:rsidR="000F2403">
        <w:rPr>
          <w:lang w:val="en-US"/>
        </w:rPr>
        <w:t>emission intensity</w:t>
      </w:r>
      <w:r>
        <w:rPr>
          <w:lang w:val="en-US"/>
        </w:rPr>
        <w:t xml:space="preserve"> per unit capacity; The </w:t>
      </w:r>
      <w:r w:rsidR="000F2403">
        <w:rPr>
          <w:lang w:val="en-US"/>
        </w:rPr>
        <w:t>total emission is the sum of emission from operating capacity among all technologies. And it should be lower than the emission limit set exogenous.</w:t>
      </w:r>
    </w:p>
    <w:p w14:paraId="7270C456" w14:textId="77570E93" w:rsidR="00AE3A6E" w:rsidRPr="00E731EA" w:rsidRDefault="00AE3A6E" w:rsidP="00E731E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E3A6E">
        <w:rPr>
          <w:b/>
          <w:bCs/>
          <w:lang w:val="en-US"/>
        </w:rPr>
        <w:t>Capacity Growth Constrains</w:t>
      </w:r>
    </w:p>
    <w:p w14:paraId="0950ED3F" w14:textId="78AF1D70" w:rsidR="00E731EA" w:rsidRPr="00E731EA" w:rsidRDefault="00000000" w:rsidP="00E731EA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opr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(y=0)×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CGC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≥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Cap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opr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(y)</m:t>
          </m:r>
        </m:oMath>
      </m:oMathPara>
    </w:p>
    <w:p w14:paraId="00AA5066" w14:textId="0699E170" w:rsidR="00E731EA" w:rsidRPr="000F2403" w:rsidRDefault="00E731EA" w:rsidP="00E731EA">
      <w:pPr>
        <w:rPr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Cap</w:t>
      </w:r>
      <w:r w:rsidRPr="000F2403">
        <w:rPr>
          <w:b/>
          <w:bCs/>
          <w:i/>
          <w:iCs/>
          <w:u w:val="single"/>
          <w:vertAlign w:val="superscript"/>
          <w:lang w:val="en-US"/>
        </w:rPr>
        <w:t>opr</w:t>
      </w:r>
      <w:proofErr w:type="spellEnd"/>
      <w:r>
        <w:rPr>
          <w:b/>
          <w:bCs/>
          <w:i/>
          <w:iCs/>
          <w:u w:val="single"/>
          <w:lang w:val="en-US"/>
        </w:rPr>
        <w:t>(y=0)</w:t>
      </w:r>
      <w:r>
        <w:rPr>
          <w:lang w:val="en-US"/>
        </w:rPr>
        <w:t xml:space="preserve"> denotes the operating capacity in the beginning </w:t>
      </w:r>
      <w:proofErr w:type="gramStart"/>
      <w:r>
        <w:rPr>
          <w:lang w:val="en-US"/>
        </w:rPr>
        <w:t>year ;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bCs/>
          <w:i/>
          <w:iCs/>
          <w:u w:val="single"/>
          <w:lang w:val="en-US"/>
        </w:rPr>
        <w:t>CGC</w:t>
      </w:r>
      <w:r w:rsidRPr="000F2403">
        <w:rPr>
          <w:b/>
          <w:bCs/>
          <w:i/>
          <w:iCs/>
          <w:u w:val="single"/>
          <w:vertAlign w:val="subscript"/>
          <w:lang w:val="en-US"/>
        </w:rPr>
        <w:t>t</w:t>
      </w:r>
      <w:proofErr w:type="spellEnd"/>
      <w:r w:rsidRPr="000F2403"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>denotes the c</w:t>
      </w:r>
      <w:r w:rsidRPr="00E731EA">
        <w:rPr>
          <w:lang w:val="en-US"/>
        </w:rPr>
        <w:t xml:space="preserve">apacity </w:t>
      </w:r>
      <w:r>
        <w:rPr>
          <w:lang w:val="en-US"/>
        </w:rPr>
        <w:t>g</w:t>
      </w:r>
      <w:r w:rsidRPr="00E731EA">
        <w:rPr>
          <w:lang w:val="en-US"/>
        </w:rPr>
        <w:t xml:space="preserve">rowth </w:t>
      </w:r>
      <w:r>
        <w:rPr>
          <w:lang w:val="en-US"/>
        </w:rPr>
        <w:t>c</w:t>
      </w:r>
      <w:r w:rsidRPr="00E731EA">
        <w:rPr>
          <w:lang w:val="en-US"/>
        </w:rPr>
        <w:t>onstrains</w:t>
      </w:r>
      <w:r>
        <w:rPr>
          <w:lang w:val="en-US"/>
        </w:rPr>
        <w:t xml:space="preserve"> factor for a given technology; The </w:t>
      </w:r>
      <w:r w:rsidR="00E0301F">
        <w:rPr>
          <w:lang w:val="en-US"/>
        </w:rPr>
        <w:t>c</w:t>
      </w:r>
      <w:r w:rsidR="00E0301F" w:rsidRPr="00E731EA">
        <w:rPr>
          <w:lang w:val="en-US"/>
        </w:rPr>
        <w:t xml:space="preserve">apacity </w:t>
      </w:r>
      <w:r w:rsidR="00E0301F">
        <w:rPr>
          <w:lang w:val="en-US"/>
        </w:rPr>
        <w:t>g</w:t>
      </w:r>
      <w:r w:rsidR="00E0301F" w:rsidRPr="00E731EA">
        <w:rPr>
          <w:lang w:val="en-US"/>
        </w:rPr>
        <w:t xml:space="preserve">rowth </w:t>
      </w:r>
      <w:r w:rsidR="00E0301F">
        <w:rPr>
          <w:lang w:val="en-US"/>
        </w:rPr>
        <w:t>c</w:t>
      </w:r>
      <w:r w:rsidR="00E0301F" w:rsidRPr="00E731EA">
        <w:rPr>
          <w:lang w:val="en-US"/>
        </w:rPr>
        <w:t>onstrains</w:t>
      </w:r>
      <w:r w:rsidR="00E0301F">
        <w:rPr>
          <w:lang w:val="en-US"/>
        </w:rPr>
        <w:t xml:space="preserve"> </w:t>
      </w:r>
      <w:r>
        <w:rPr>
          <w:lang w:val="en-US"/>
        </w:rPr>
        <w:t xml:space="preserve">is the </w:t>
      </w:r>
      <w:r w:rsidR="00E0301F">
        <w:rPr>
          <w:lang w:val="en-US"/>
        </w:rPr>
        <w:t>product</w:t>
      </w:r>
      <w:r>
        <w:rPr>
          <w:lang w:val="en-US"/>
        </w:rPr>
        <w:t xml:space="preserve"> of </w:t>
      </w:r>
      <w:r w:rsidR="00E0301F">
        <w:rPr>
          <w:lang w:val="en-US"/>
        </w:rPr>
        <w:t>initial</w:t>
      </w:r>
      <w:r>
        <w:rPr>
          <w:lang w:val="en-US"/>
        </w:rPr>
        <w:t xml:space="preserve"> operating capacity </w:t>
      </w:r>
      <w:r w:rsidR="00E0301F">
        <w:rPr>
          <w:lang w:val="en-US"/>
        </w:rPr>
        <w:t>and the growth rate with power of a given year</w:t>
      </w:r>
      <w:r>
        <w:rPr>
          <w:lang w:val="en-US"/>
        </w:rPr>
        <w:t xml:space="preserve">. </w:t>
      </w:r>
      <w:r w:rsidR="00E0301F">
        <w:rPr>
          <w:lang w:val="en-US"/>
        </w:rPr>
        <w:t xml:space="preserve">The </w:t>
      </w:r>
      <w:proofErr w:type="spellStart"/>
      <w:r w:rsidR="00E0301F">
        <w:rPr>
          <w:lang w:val="en-US"/>
        </w:rPr>
        <w:t>the</w:t>
      </w:r>
      <w:proofErr w:type="spellEnd"/>
      <w:r w:rsidR="00E0301F">
        <w:rPr>
          <w:lang w:val="en-US"/>
        </w:rPr>
        <w:t xml:space="preserve"> growth rate, which is </w:t>
      </w:r>
      <w:proofErr w:type="spellStart"/>
      <w:r w:rsidR="00E0301F">
        <w:rPr>
          <w:b/>
          <w:bCs/>
          <w:i/>
          <w:iCs/>
          <w:u w:val="single"/>
          <w:lang w:val="en-US"/>
        </w:rPr>
        <w:t>CGC</w:t>
      </w:r>
      <w:r w:rsidR="00E0301F" w:rsidRPr="000F2403">
        <w:rPr>
          <w:b/>
          <w:bCs/>
          <w:i/>
          <w:iCs/>
          <w:u w:val="single"/>
          <w:vertAlign w:val="subscript"/>
          <w:lang w:val="en-US"/>
        </w:rPr>
        <w:t>t</w:t>
      </w:r>
      <w:proofErr w:type="spellEnd"/>
      <w:r w:rsidR="00E0301F">
        <w:rPr>
          <w:lang w:val="en-US"/>
        </w:rPr>
        <w:t xml:space="preserve">, should be </w:t>
      </w:r>
      <w:r>
        <w:rPr>
          <w:lang w:val="en-US"/>
        </w:rPr>
        <w:t>set exogenous</w:t>
      </w:r>
      <w:r w:rsidR="00E0301F">
        <w:rPr>
          <w:lang w:val="en-US"/>
        </w:rPr>
        <w:t>ly</w:t>
      </w:r>
      <w:r>
        <w:rPr>
          <w:lang w:val="en-US"/>
        </w:rPr>
        <w:t>.</w:t>
      </w:r>
      <w:r w:rsidR="00E0301F">
        <w:rPr>
          <w:lang w:val="en-US"/>
        </w:rPr>
        <w:t xml:space="preserve"> And the c</w:t>
      </w:r>
      <w:r w:rsidR="00E0301F" w:rsidRPr="00E731EA">
        <w:rPr>
          <w:lang w:val="en-US"/>
        </w:rPr>
        <w:t xml:space="preserve">apacity </w:t>
      </w:r>
      <w:r w:rsidR="00E0301F">
        <w:rPr>
          <w:lang w:val="en-US"/>
        </w:rPr>
        <w:t>g</w:t>
      </w:r>
      <w:r w:rsidR="00E0301F" w:rsidRPr="00E731EA">
        <w:rPr>
          <w:lang w:val="en-US"/>
        </w:rPr>
        <w:t xml:space="preserve">rowth </w:t>
      </w:r>
      <w:r w:rsidR="00E0301F">
        <w:rPr>
          <w:lang w:val="en-US"/>
        </w:rPr>
        <w:t>c</w:t>
      </w:r>
      <w:r w:rsidR="00E0301F" w:rsidRPr="00E731EA">
        <w:rPr>
          <w:lang w:val="en-US"/>
        </w:rPr>
        <w:t>onstrains</w:t>
      </w:r>
      <w:r w:rsidR="00E0301F">
        <w:rPr>
          <w:lang w:val="en-US"/>
        </w:rPr>
        <w:t xml:space="preserve"> should be larger than the operating capacity in year y.</w:t>
      </w:r>
    </w:p>
    <w:p w14:paraId="77BC2E80" w14:textId="77777777" w:rsidR="00E731EA" w:rsidRPr="00AE3A6E" w:rsidRDefault="00E731EA">
      <w:pPr>
        <w:rPr>
          <w:lang w:val="en-US"/>
        </w:rPr>
      </w:pPr>
    </w:p>
    <w:sectPr w:rsidR="00E731EA" w:rsidRPr="00AE3A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89F"/>
    <w:multiLevelType w:val="hybridMultilevel"/>
    <w:tmpl w:val="993865CC"/>
    <w:lvl w:ilvl="0" w:tplc="08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C296F36"/>
    <w:multiLevelType w:val="hybridMultilevel"/>
    <w:tmpl w:val="2930A3AC"/>
    <w:lvl w:ilvl="0" w:tplc="A410942A">
      <w:start w:val="1"/>
      <w:numFmt w:val="bullet"/>
      <w:pStyle w:val="Bullet"/>
      <w:lvlText w:val="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38FE"/>
    <w:multiLevelType w:val="hybridMultilevel"/>
    <w:tmpl w:val="70724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4112">
    <w:abstractNumId w:val="2"/>
  </w:num>
  <w:num w:numId="2" w16cid:durableId="1449005838">
    <w:abstractNumId w:val="0"/>
  </w:num>
  <w:num w:numId="3" w16cid:durableId="25533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6E"/>
    <w:rsid w:val="0000340B"/>
    <w:rsid w:val="000B2360"/>
    <w:rsid w:val="000B7FC5"/>
    <w:rsid w:val="000F2403"/>
    <w:rsid w:val="001627FD"/>
    <w:rsid w:val="002169D9"/>
    <w:rsid w:val="00237CDD"/>
    <w:rsid w:val="00247240"/>
    <w:rsid w:val="002618D4"/>
    <w:rsid w:val="002B1BBC"/>
    <w:rsid w:val="002D316C"/>
    <w:rsid w:val="002E5506"/>
    <w:rsid w:val="002F16EA"/>
    <w:rsid w:val="00330519"/>
    <w:rsid w:val="00347227"/>
    <w:rsid w:val="003A3C71"/>
    <w:rsid w:val="003F12AA"/>
    <w:rsid w:val="00440C52"/>
    <w:rsid w:val="004D675A"/>
    <w:rsid w:val="004E14DD"/>
    <w:rsid w:val="0050680F"/>
    <w:rsid w:val="0051237B"/>
    <w:rsid w:val="005573A2"/>
    <w:rsid w:val="00581BA3"/>
    <w:rsid w:val="005E612C"/>
    <w:rsid w:val="005E6690"/>
    <w:rsid w:val="005F3C76"/>
    <w:rsid w:val="006A2079"/>
    <w:rsid w:val="006A3FF1"/>
    <w:rsid w:val="006C1E74"/>
    <w:rsid w:val="007517B1"/>
    <w:rsid w:val="00791A00"/>
    <w:rsid w:val="00795BB7"/>
    <w:rsid w:val="007E4AEB"/>
    <w:rsid w:val="007E7893"/>
    <w:rsid w:val="00834A55"/>
    <w:rsid w:val="008A310C"/>
    <w:rsid w:val="00947B7B"/>
    <w:rsid w:val="009622F8"/>
    <w:rsid w:val="00972078"/>
    <w:rsid w:val="009730B7"/>
    <w:rsid w:val="009738BE"/>
    <w:rsid w:val="00977629"/>
    <w:rsid w:val="009937BB"/>
    <w:rsid w:val="00994ED4"/>
    <w:rsid w:val="00996408"/>
    <w:rsid w:val="009E3619"/>
    <w:rsid w:val="009F384C"/>
    <w:rsid w:val="00A62D52"/>
    <w:rsid w:val="00AB250F"/>
    <w:rsid w:val="00AE3A6E"/>
    <w:rsid w:val="00B470B1"/>
    <w:rsid w:val="00C33F0F"/>
    <w:rsid w:val="00C52CD1"/>
    <w:rsid w:val="00C74302"/>
    <w:rsid w:val="00C918A5"/>
    <w:rsid w:val="00CB5D66"/>
    <w:rsid w:val="00CC2EF9"/>
    <w:rsid w:val="00CE4AF4"/>
    <w:rsid w:val="00CE5824"/>
    <w:rsid w:val="00CE5F2E"/>
    <w:rsid w:val="00CF05DD"/>
    <w:rsid w:val="00D15B95"/>
    <w:rsid w:val="00D43FD4"/>
    <w:rsid w:val="00D626ED"/>
    <w:rsid w:val="00D6422D"/>
    <w:rsid w:val="00DA200C"/>
    <w:rsid w:val="00E02F6D"/>
    <w:rsid w:val="00E0301F"/>
    <w:rsid w:val="00E450CB"/>
    <w:rsid w:val="00E731EA"/>
    <w:rsid w:val="00E77828"/>
    <w:rsid w:val="00EA793F"/>
    <w:rsid w:val="00F550EA"/>
    <w:rsid w:val="00F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B9D0"/>
  <w15:chartTrackingRefBased/>
  <w15:docId w15:val="{7EC2FBDA-466D-B342-B51B-E206B483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EA"/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6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3A6E"/>
    <w:rPr>
      <w:color w:val="666666"/>
    </w:rPr>
  </w:style>
  <w:style w:type="paragraph" w:customStyle="1" w:styleId="Bullet">
    <w:name w:val="Bullet"/>
    <w:basedOn w:val="ListParagraph"/>
    <w:qFormat/>
    <w:rsid w:val="00947B7B"/>
    <w:pPr>
      <w:numPr>
        <w:numId w:val="3"/>
      </w:numPr>
      <w:spacing w:before="160" w:line="360" w:lineRule="auto"/>
    </w:pPr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2024-03-11T10:38:00Z</dcterms:created>
  <dcterms:modified xsi:type="dcterms:W3CDTF">2024-03-11T22:55:00Z</dcterms:modified>
</cp:coreProperties>
</file>