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BI Dashboard: Instructional Report</w:t>
      </w:r>
    </w:p>
    <w:p w:rsidR="00000000" w:rsidDel="00000000" w:rsidP="00000000" w:rsidRDefault="00000000" w:rsidRPr="00000000" w14:paraId="00000002">
      <w:pPr>
        <w:spacing w:after="120"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w:t>
      </w:r>
      <w:r w:rsidDel="00000000" w:rsidR="00000000" w:rsidRPr="00000000">
        <w:rPr>
          <w:rFonts w:ascii="Times New Roman" w:cs="Times New Roman" w:eastAsia="Times New Roman" w:hAnsi="Times New Roman"/>
          <w:sz w:val="24"/>
          <w:szCs w:val="24"/>
          <w:rtl w:val="0"/>
        </w:rPr>
        <w:t xml:space="preserve">Environmental and Socioeconomic Predictors of Obesity in Mesa, AZ</w:t>
      </w:r>
    </w:p>
    <w:p w:rsidR="00000000" w:rsidDel="00000000" w:rsidP="00000000" w:rsidRDefault="00000000" w:rsidRPr="00000000" w14:paraId="00000003">
      <w:pPr>
        <w:spacing w:after="120"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Author: </w:t>
      </w:r>
      <w:r w:rsidDel="00000000" w:rsidR="00000000" w:rsidRPr="00000000">
        <w:rPr>
          <w:rFonts w:ascii="Times New Roman" w:cs="Times New Roman" w:eastAsia="Times New Roman" w:hAnsi="Times New Roman"/>
          <w:sz w:val="24"/>
          <w:szCs w:val="24"/>
          <w:rtl w:val="0"/>
        </w:rPr>
        <w:t xml:space="preserve">Jerry Stayner    </w:t>
      </w:r>
      <w:r w:rsidDel="00000000" w:rsidR="00000000" w:rsidRPr="00000000">
        <w:rPr>
          <w:rFonts w:ascii="Times New Roman" w:cs="Times New Roman" w:eastAsia="Times New Roman" w:hAnsi="Times New Roman"/>
          <w:b w:val="1"/>
          <w:bCs w:val="1"/>
          <w:sz w:val="24"/>
          <w:szCs w:val="24"/>
          <w:rtl w:val="0"/>
        </w:rPr>
        <w:t xml:space="preserve">Course: </w:t>
      </w:r>
      <w:r w:rsidDel="00000000" w:rsidR="00000000" w:rsidRPr="00000000">
        <w:rPr>
          <w:rFonts w:ascii="Times New Roman" w:cs="Times New Roman" w:eastAsia="Times New Roman" w:hAnsi="Times New Roman"/>
          <w:sz w:val="24"/>
          <w:szCs w:val="24"/>
          <w:rtl w:val="0"/>
        </w:rPr>
        <w:t xml:space="preserve">CIS 480, Spring 2026</w:t>
      </w:r>
    </w:p>
    <w:p w:rsidR="00000000" w:rsidDel="00000000" w:rsidP="00000000" w:rsidRDefault="00000000" w:rsidRPr="00000000" w14:paraId="00000004">
      <w:pPr>
        <w:spacing w:after="240" w:before="240"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describes how the Power BI file, Mesa_Obesity_Dashboard.pbix, connects to its data. It also explains how to refresh that data and what each page of the dashboard displays. This is intended for someone who has the .pbix file open in Power BI Desktop.</w:t>
      </w:r>
    </w:p>
    <w:p w:rsidR="00000000" w:rsidDel="00000000" w:rsidP="00000000" w:rsidRDefault="00000000" w:rsidRPr="00000000" w14:paraId="00000005">
      <w:pPr>
        <w:spacing w:after="240" w:before="240" w:line="3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Source</w:t>
      </w:r>
    </w:p>
    <w:p w:rsidR="00000000" w:rsidDel="00000000" w:rsidP="00000000" w:rsidRDefault="00000000" w:rsidRPr="00000000" w14:paraId="00000006">
      <w:pPr>
        <w:spacing w:after="240" w:before="240"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reads from one CSV file: mesa_tract_master.csv. This file is the analysis-ready master dataset produced by the Python pipeline included with the submission. Each row is one Census Tract in Mesa, Arizona. These are keyed on the 11-digit FIPS code (the column called fips). The columns are:</w:t>
      </w:r>
    </w:p>
    <w:p w:rsidR="00000000" w:rsidDel="00000000" w:rsidP="00000000" w:rsidRDefault="00000000" w:rsidRPr="00000000" w14:paraId="00000007">
      <w:pPr>
        <w:spacing w:after="240" w:before="240"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fips: 11-digit Census Tract FIPS code (stored as text so the leading zero stays)</w:t>
      </w:r>
    </w:p>
    <w:p w:rsidR="00000000" w:rsidDel="00000000" w:rsidP="00000000" w:rsidRDefault="00000000" w:rsidRPr="00000000" w14:paraId="00000008">
      <w:pPr>
        <w:spacing w:after="240" w:before="240"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obesity_pct: adult obesity prevalence from CDC PLACES (2023)</w:t>
      </w:r>
    </w:p>
    <w:p w:rsidR="00000000" w:rsidDel="00000000" w:rsidP="00000000" w:rsidRDefault="00000000" w:rsidRPr="00000000" w14:paraId="00000009">
      <w:pPr>
        <w:spacing w:after="240" w:before="240"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median_income: median household income in dollars (Census ACS 2020-2024)</w:t>
      </w:r>
    </w:p>
    <w:p w:rsidR="00000000" w:rsidDel="00000000" w:rsidP="00000000" w:rsidRDefault="00000000" w:rsidRPr="00000000" w14:paraId="0000000A">
      <w:pPr>
        <w:spacing w:after="240" w:before="240"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grocery_per_10k: grocery stores per 10,000 residents (built from USDA SNAP 2025)</w:t>
      </w:r>
    </w:p>
    <w:p w:rsidR="00000000" w:rsidDel="00000000" w:rsidP="00000000" w:rsidRDefault="00000000" w:rsidRPr="00000000" w14:paraId="0000000B">
      <w:pPr>
        <w:spacing w:after="240" w:before="240"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drove_pct: percentage of workers who drove to work (Census ACS 2020-2024)</w:t>
      </w:r>
    </w:p>
    <w:p w:rsidR="00000000" w:rsidDel="00000000" w:rsidP="00000000" w:rsidRDefault="00000000" w:rsidRPr="00000000" w14:paraId="0000000C">
      <w:pPr>
        <w:spacing w:after="240" w:before="240"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bachelors_pct: percentage of adults with at least a bachelor's degree (Census ACS 2020-2024)</w:t>
      </w:r>
    </w:p>
    <w:p w:rsidR="00000000" w:rsidDel="00000000" w:rsidP="00000000" w:rsidRDefault="00000000" w:rsidRPr="00000000" w14:paraId="0000000D">
      <w:pPr>
        <w:spacing w:after="240" w:before="240"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uninsured_pct: percentage without health insurance (Census ACS 2020-2024)</w:t>
      </w:r>
    </w:p>
    <w:p w:rsidR="00000000" w:rsidDel="00000000" w:rsidP="00000000" w:rsidRDefault="00000000" w:rsidRPr="00000000" w14:paraId="0000000E">
      <w:pPr>
        <w:spacing w:after="240" w:before="240"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grocery_count: raw count of grocery stores inside the tract boundary</w:t>
      </w:r>
    </w:p>
    <w:p w:rsidR="00000000" w:rsidDel="00000000" w:rsidP="00000000" w:rsidRDefault="00000000" w:rsidRPr="00000000" w14:paraId="0000000F">
      <w:pPr>
        <w:spacing w:after="240" w:before="240"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population: total population (Census ACS 2020-2024)</w:t>
      </w:r>
    </w:p>
    <w:p w:rsidR="00000000" w:rsidDel="00000000" w:rsidP="00000000" w:rsidRDefault="00000000" w:rsidRPr="00000000" w14:paraId="00000010">
      <w:pPr>
        <w:spacing w:after="240" w:before="240"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built the main CSV from seven raw exports. This includes six tract-level layers from PolicyMap and a SNAP retailer points file that I joined at the tract level. I used Python scripts for this task. I saved the original raw files to make sure the work can be reproduced.</w:t>
      </w:r>
    </w:p>
    <w:p w:rsidR="00000000" w:rsidDel="00000000" w:rsidP="00000000" w:rsidRDefault="00000000" w:rsidRPr="00000000" w14:paraId="00000011">
      <w:pPr>
        <w:spacing w:after="240" w:before="240" w:line="3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to Connect to the Data Source</w:t>
      </w:r>
    </w:p>
    <w:p w:rsidR="00000000" w:rsidDel="00000000" w:rsidP="00000000" w:rsidRDefault="00000000" w:rsidRPr="00000000" w14:paraId="00000012">
      <w:pPr>
        <w:spacing w:after="240" w:before="240"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.pbix file uses a relative file path to mesa_tract_master.csv. To open the dashboard on a new machine:</w:t>
      </w:r>
    </w:p>
    <w:p w:rsidR="00000000" w:rsidDel="00000000" w:rsidP="00000000" w:rsidRDefault="00000000" w:rsidRPr="00000000" w14:paraId="00000013">
      <w:pPr>
        <w:spacing w:after="240" w:before="240"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 the .pbix file and mesa_tract_master.csv in the same folder, OR put mesa_tract_master.csv at the path stored in the .pbix file's data source settings.</w:t>
      </w:r>
    </w:p>
    <w:p w:rsidR="00000000" w:rsidDel="00000000" w:rsidP="00000000" w:rsidRDefault="00000000" w:rsidRPr="00000000" w14:paraId="00000014">
      <w:pPr>
        <w:spacing w:after="240" w:before="240"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Mesa_Obesity_Dashboard.pbix in Power BI Desktop.</w:t>
      </w:r>
    </w:p>
    <w:p w:rsidR="00000000" w:rsidDel="00000000" w:rsidP="00000000" w:rsidRDefault="00000000" w:rsidRPr="00000000" w14:paraId="00000015">
      <w:pPr>
        <w:spacing w:after="240" w:before="240"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Power BI shows a yellow warning bar saying it cannot find the data source, click Transform data &gt; Data source settings. Click Change Source, browse to the new location of mesa_tract_master.csv, click OK, then Apply changes.</w:t>
      </w:r>
    </w:p>
    <w:p w:rsidR="00000000" w:rsidDel="00000000" w:rsidP="00000000" w:rsidRDefault="00000000" w:rsidRPr="00000000" w14:paraId="00000016">
      <w:pPr>
        <w:spacing w:after="240" w:before="240"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to inspect the data import steps, click Transform data to open Power Query Editor. The fips column should be set to type Text. The other columns are typed as Decimal Number or Whole Number.</w:t>
      </w:r>
    </w:p>
    <w:p w:rsidR="00000000" w:rsidDel="00000000" w:rsidP="00000000" w:rsidRDefault="00000000" w:rsidRPr="00000000" w14:paraId="00000017">
      <w:pPr>
        <w:spacing w:after="240" w:before="240" w:line="3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to Refresh the Data</w:t>
      </w:r>
    </w:p>
    <w:p w:rsidR="00000000" w:rsidDel="00000000" w:rsidP="00000000" w:rsidRDefault="00000000" w:rsidRPr="00000000" w14:paraId="00000018">
      <w:pPr>
        <w:spacing w:after="240" w:before="240"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supports manual refresh in Power BI Desktop. There are two cases.</w:t>
      </w:r>
    </w:p>
    <w:p w:rsidR="00000000" w:rsidDel="00000000" w:rsidP="00000000" w:rsidRDefault="00000000" w:rsidRPr="00000000" w14:paraId="00000019">
      <w:pPr>
        <w:spacing w:after="240" w:before="240"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1: Refreshing with the same data file.</w:t>
      </w:r>
    </w:p>
    <w:p w:rsidR="00000000" w:rsidDel="00000000" w:rsidP="00000000" w:rsidRDefault="00000000" w:rsidRPr="00000000" w14:paraId="0000001A">
      <w:pPr>
        <w:spacing w:after="240" w:before="240"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Power BI Desktop, click Home &gt; Refresh. Power BI re-reads the master CSV and shows any changes.</w:t>
      </w:r>
    </w:p>
    <w:p w:rsidR="00000000" w:rsidDel="00000000" w:rsidP="00000000" w:rsidRDefault="00000000" w:rsidRPr="00000000" w14:paraId="0000001B">
      <w:pPr>
        <w:spacing w:after="240" w:before="240"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2: Refreshing with new data (annual update).</w:t>
      </w:r>
    </w:p>
    <w:p w:rsidR="00000000" w:rsidDel="00000000" w:rsidP="00000000" w:rsidRDefault="00000000" w:rsidRPr="00000000" w14:paraId="0000001C">
      <w:pPr>
        <w:spacing w:after="240" w:before="240"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Re-extract the source data from PolicyMap. Download the same six tract-level layers and the SNAP "Points with Layer Data" export, and save them with the same filenames in /datasets/.</w:t>
      </w:r>
    </w:p>
    <w:p w:rsidR="00000000" w:rsidDel="00000000" w:rsidP="00000000" w:rsidRDefault="00000000" w:rsidRPr="00000000" w14:paraId="0000001D">
      <w:pPr>
        <w:spacing w:after="240" w:before="240"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the Python pipeline in order to rebuild the master CSV:</w:t>
      </w:r>
    </w:p>
    <w:p w:rsidR="00000000" w:rsidDel="00000000" w:rsidP="00000000" w:rsidRDefault="00000000" w:rsidRPr="00000000" w14:paraId="0000001E">
      <w:pPr>
        <w:spacing w:after="240" w:before="240" w:line="32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python scripts/01_clean_and_</w:t>
      </w:r>
      <w:r w:rsidDel="00000000" w:rsidR="00000000" w:rsidRPr="00000000">
        <w:rPr>
          <w:rFonts w:ascii="Times New Roman" w:cs="Times New Roman" w:eastAsia="Times New Roman" w:hAnsi="Times New Roman"/>
          <w:sz w:val="24"/>
          <w:szCs w:val="24"/>
          <w:rtl w:val="0"/>
        </w:rPr>
        <w:t xml:space="preserve">merge.py</w:t>
      </w:r>
      <w:r w:rsidDel="00000000" w:rsidR="00000000" w:rsidRPr="00000000">
        <w:rPr>
          <w:rtl w:val="0"/>
        </w:rPr>
      </w:r>
    </w:p>
    <w:p w:rsidR="00000000" w:rsidDel="00000000" w:rsidP="00000000" w:rsidRDefault="00000000" w:rsidRPr="00000000" w14:paraId="0000001F">
      <w:pPr>
        <w:spacing w:after="240" w:before="240" w:line="32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python scripts/02_compute_grocery_</w:t>
      </w:r>
      <w:r w:rsidDel="00000000" w:rsidR="00000000" w:rsidRPr="00000000">
        <w:rPr>
          <w:rFonts w:ascii="Times New Roman" w:cs="Times New Roman" w:eastAsia="Times New Roman" w:hAnsi="Times New Roman"/>
          <w:sz w:val="24"/>
          <w:szCs w:val="24"/>
          <w:rtl w:val="0"/>
        </w:rPr>
        <w:t xml:space="preserve">density.py</w:t>
      </w:r>
      <w:r w:rsidDel="00000000" w:rsidR="00000000" w:rsidRPr="00000000">
        <w:rPr>
          <w:rtl w:val="0"/>
        </w:rPr>
      </w:r>
    </w:p>
    <w:p w:rsidR="00000000" w:rsidDel="00000000" w:rsidP="00000000" w:rsidRDefault="00000000" w:rsidRPr="00000000" w14:paraId="00000020">
      <w:pPr>
        <w:spacing w:after="240" w:before="240"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two scripts produce an updated mesa_tract_master.csv. The other scripts (03 and 04) regenerate the diagnostic charts and the regression results, which is optional for the dashboard refresh.</w:t>
      </w:r>
    </w:p>
    <w:p w:rsidR="00000000" w:rsidDel="00000000" w:rsidP="00000000" w:rsidRDefault="00000000" w:rsidRPr="00000000" w14:paraId="00000021">
      <w:pPr>
        <w:spacing w:after="240" w:before="240"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.pbix in Power BI Desktop and click Home &gt; Refresh. The dashboard updates with the new data.</w:t>
      </w:r>
    </w:p>
    <w:p w:rsidR="00000000" w:rsidDel="00000000" w:rsidP="00000000" w:rsidRDefault="00000000" w:rsidRPr="00000000" w14:paraId="00000022">
      <w:pPr>
        <w:spacing w:after="240" w:before="240"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Cloud-based refresh through Power BI Service is supported but optional for this submission. To enable it, publish the .pbix to a Power BI workspace, then set up scheduled refresh either through a personal gateway pointing at the local CSV file or by hosting mesa_tract_master.csv in OneDrive or SharePoint and pointing the data source there.</w:t>
      </w:r>
    </w:p>
    <w:p w:rsidR="00000000" w:rsidDel="00000000" w:rsidP="00000000" w:rsidRDefault="00000000" w:rsidRPr="00000000" w14:paraId="00000023">
      <w:pPr>
        <w:spacing w:after="240" w:before="240" w:line="3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Dashboard Pages</w:t>
      </w:r>
    </w:p>
    <w:p w:rsidR="00000000" w:rsidDel="00000000" w:rsidP="00000000" w:rsidRDefault="00000000" w:rsidRPr="00000000" w14:paraId="00000024">
      <w:pPr>
        <w:spacing w:after="240" w:before="240"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has 5 pages, each connected to the research question and hypotheses: </w:t>
      </w:r>
    </w:p>
    <w:p w:rsidR="00000000" w:rsidDel="00000000" w:rsidP="00000000" w:rsidRDefault="00000000" w:rsidRPr="00000000" w14:paraId="00000025">
      <w:pPr>
        <w:spacing w:after="240" w:before="240"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1 (Overview). Four KPI cards summarize adult obesity across Mesa Census Tracts: the citywide average, the highest tract, the lowest tract, and the number of tracts analyzed. </w:t>
      </w:r>
    </w:p>
    <w:p w:rsidR="00000000" w:rsidDel="00000000" w:rsidP="00000000" w:rsidRDefault="00000000" w:rsidRPr="00000000" w14:paraId="00000026">
      <w:pPr>
        <w:spacing w:after="240" w:before="240"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2 (Rankings). Two clustered bar charts display tract-level obesity rates. One is ranked from highest to lowest, and the other is ranked from lowest to highest. The user can see both ends of the distribution. </w:t>
      </w:r>
    </w:p>
    <w:p w:rsidR="00000000" w:rsidDel="00000000" w:rsidP="00000000" w:rsidRDefault="00000000" w:rsidRPr="00000000" w14:paraId="00000027">
      <w:pPr>
        <w:spacing w:after="240" w:before="240"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3 (Predictor Explorer). Five scatter plots are arranged on one page, one for each predictor. Each plot shows adult obesity (Y-axis) against one predictor (X-axis): median income, percentage commuting by car, percentage with a bachelor's degree, grocery stores per 10,000 residents, and percentage uninsured. This layout allows the user to compare the strength and direction of all five relationships at the same time, which relates directly to Hypotheses 1 through 5. </w:t>
      </w:r>
    </w:p>
    <w:p w:rsidR="00000000" w:rsidDel="00000000" w:rsidP="00000000" w:rsidRDefault="00000000" w:rsidRPr="00000000" w14:paraId="00000028">
      <w:pPr>
        <w:spacing w:after="240" w:before="240"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4 (Hypothesis Results). A summary of regression decisions for each of the 5 hypotheses, along with the standardized effect sizes chart from the regression analysis. </w:t>
      </w:r>
    </w:p>
    <w:p w:rsidR="00000000" w:rsidDel="00000000" w:rsidP="00000000" w:rsidRDefault="00000000" w:rsidRPr="00000000" w14:paraId="00000029">
      <w:pPr>
        <w:spacing w:after="240" w:before="240" w:line="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5 (About). Project metadata, data sources, a summary of the methodology, and limitations.</w:t>
      </w:r>
    </w:p>
    <w:p w:rsidR="00000000" w:rsidDel="00000000" w:rsidP="00000000" w:rsidRDefault="00000000" w:rsidRPr="00000000" w14:paraId="0000002A">
      <w:pPr>
        <w:spacing w:after="120" w:line="320" w:lineRule="auto"/>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left"/>
    </w:pPr>
    <w:rPr>
      <w:rFonts w:ascii="Arial" w:cs="Arial" w:eastAsia="Arial" w:hAnsi="Arial"/>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9"/>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