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Property Law Agent: Scope</w:t>
      </w:r>
    </w:p>
    <w:p>
      <w:pPr/>
      <w:r>
        <w:t xml:space="preserve">Oct 10, 2026</w:t>
      </w:r>
      <w:r>
        <w:t xml:space="preserve"> · </w:t>
      </w:r>
      <w:r>
        <w:t xml:space="preserve">@Olusegun ayodele</w:t>
      </w:r>
    </w:p>
    <w:p>
      <w:pPr/>
      <w:r>
        <w:t xml:space="preserve">The Pandas LP property law agent covers seven areas of property work. Each area sets out what the agent does, the law that applies, the main rules it works by and the fee. The statutes to load into the agent are listed in the Statutes tab.</w:t>
      </w:r>
    </w:p>
    <w:p>
      <w:pPr>
        <w:pStyle w:val="Heading2"/>
      </w:pPr>
      <w:r>
        <w:t xml:space="preserve">Which law applies in which state</w:t>
      </w:r>
    </w:p>
    <w:p>
      <w:pPr/>
      <w:r>
        <w:t xml:space="preserve">The state where the property is decides the law, so the agent asks for the state first. The Land Use Act 1978 applies everywhere.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Where</w:t>
            </w:r>
          </w:p>
        </w:tc>
        <w:tc>
          <w:tcPr>
            <w:tcW w:w="2340" w:type="dxa"/>
            <w:shd w:val="clear" w:color="auto" w:fill="F2F2F2"/>
          </w:tcPr>
          <w:p>
            <w:pPr/>
            <w:r>
              <w:t xml:space="preserve">Tenancy and recovery</w:t>
            </w:r>
          </w:p>
        </w:tc>
        <w:tc>
          <w:tcPr>
            <w:tcW w:w="2340" w:type="dxa"/>
            <w:shd w:val="clear" w:color="auto" w:fill="F2F2F2"/>
          </w:tcPr>
          <w:p>
            <w:pPr/>
            <w:r>
              <w:t xml:space="preserve">Deeds and mortgages</w:t>
            </w:r>
          </w:p>
        </w:tc>
        <w:tc>
          <w:tcPr>
            <w:tcW w:w="2340" w:type="dxa"/>
            <w:shd w:val="clear" w:color="auto" w:fill="F2F2F2"/>
          </w:tcPr>
          <w:p>
            <w:pPr/>
            <w:r>
              <w:t xml:space="preserve">Wills and estates</w:t>
            </w:r>
          </w:p>
        </w:tc>
      </w:tr>
      <w:tr>
        <w:tc>
          <w:tcPr>
            <w:tcW w:w="2340" w:type="dxa"/>
          </w:tcPr>
          <w:p>
            <w:pPr/>
            <w:r>
              <w:t xml:space="preserve">Lagos</w:t>
            </w:r>
          </w:p>
        </w:tc>
        <w:tc>
          <w:tcPr>
            <w:tcW w:w="2340" w:type="dxa"/>
          </w:tcPr>
          <w:p>
            <w:pPr/>
            <w:r>
              <w:t xml:space="preserve">Tenancy Law 2011</w:t>
            </w:r>
          </w:p>
        </w:tc>
        <w:tc>
          <w:tcPr>
            <w:tcW w:w="2340" w:type="dxa"/>
          </w:tcPr>
          <w:p>
            <w:pPr/>
            <w:r>
              <w:t xml:space="preserve">Mortgage and Property Law 2010; Land Registration Law 2015; Conveyancing Act 1881</w:t>
            </w:r>
          </w:p>
        </w:tc>
        <w:tc>
          <w:tcPr>
            <w:tcW w:w="2340" w:type="dxa"/>
          </w:tcPr>
          <w:p>
            <w:pPr/>
            <w:r>
              <w:t xml:space="preserve">Wills Law of Lagos State; Administration of Estates Law</w:t>
            </w:r>
          </w:p>
        </w:tc>
      </w:tr>
      <w:tr>
        <w:tc>
          <w:tcPr>
            <w:tcW w:w="2340" w:type="dxa"/>
          </w:tcPr>
          <w:p>
            <w:pPr/>
            <w:r>
              <w:t xml:space="preserve">FCT (Abuja)</w:t>
            </w:r>
          </w:p>
        </w:tc>
        <w:tc>
          <w:tcPr>
            <w:tcW w:w="2340" w:type="dxa"/>
          </w:tcPr>
          <w:p>
            <w:pPr/>
            <w:r>
              <w:t xml:space="preserve">Recovery of Premises Act</w:t>
            </w:r>
          </w:p>
        </w:tc>
        <w:tc>
          <w:tcPr>
            <w:tcW w:w="2340" w:type="dxa"/>
          </w:tcPr>
          <w:p>
            <w:pPr/>
            <w:r>
              <w:t xml:space="preserve">Conveyancing Acts 1881 and 1882</w:t>
            </w:r>
          </w:p>
        </w:tc>
        <w:tc>
          <w:tcPr>
            <w:tcW w:w="2340" w:type="dxa"/>
          </w:tcPr>
          <w:p>
            <w:pPr/>
            <w:r>
              <w:t xml:space="preserve">Wills Act 1837</w:t>
            </w:r>
          </w:p>
        </w:tc>
      </w:tr>
      <w:tr>
        <w:tc>
          <w:tcPr>
            <w:tcW w:w="2340" w:type="dxa"/>
          </w:tcPr>
          <w:p>
            <w:pPr/>
            <w:r>
              <w:t xml:space="preserve">Oyo, Ogun, Ondo, Osun, Ekiti, Edo, Delta</w:t>
            </w:r>
          </w:p>
        </w:tc>
        <w:tc>
          <w:tcPr>
            <w:tcW w:w="2340" w:type="dxa"/>
          </w:tcPr>
          <w:p>
            <w:pPr/>
            <w:r>
              <w:t xml:space="preserve">Each state's Recovery of Premises Law</w:t>
            </w:r>
          </w:p>
        </w:tc>
        <w:tc>
          <w:tcPr>
            <w:tcW w:w="2340" w:type="dxa"/>
          </w:tcPr>
          <w:p>
            <w:pPr/>
            <w:r>
              <w:t xml:space="preserve">Property and Conveyancing Law 1959 (PCL)</w:t>
            </w:r>
          </w:p>
        </w:tc>
        <w:tc>
          <w:tcPr>
            <w:tcW w:w="2340" w:type="dxa"/>
          </w:tcPr>
          <w:p>
            <w:pPr/>
            <w:r>
              <w:t xml:space="preserve">Wills Law 1958 (Oyo has its own Wills Edict 1990); Administration of Estates Law 1959</w:t>
            </w:r>
          </w:p>
        </w:tc>
      </w:tr>
      <w:tr>
        <w:tc>
          <w:tcPr>
            <w:tcW w:w="2340" w:type="dxa"/>
          </w:tcPr>
          <w:p>
            <w:pPr/>
            <w:r>
              <w:t xml:space="preserve">Northern and eastern states</w:t>
            </w:r>
          </w:p>
        </w:tc>
        <w:tc>
          <w:tcPr>
            <w:tcW w:w="2340" w:type="dxa"/>
          </w:tcPr>
          <w:p>
            <w:pPr/>
            <w:r>
              <w:t xml:space="preserve">Each state's recovery of premises or landlord and tenant law</w:t>
            </w:r>
          </w:p>
        </w:tc>
        <w:tc>
          <w:tcPr>
            <w:tcW w:w="2340" w:type="dxa"/>
          </w:tcPr>
          <w:p>
            <w:pPr/>
            <w:r>
              <w:t xml:space="preserve">Conveyancing Acts 1881 and 1882 (CA)</w:t>
            </w:r>
          </w:p>
        </w:tc>
        <w:tc>
          <w:tcPr>
            <w:tcW w:w="2340" w:type="dxa"/>
          </w:tcPr>
          <w:p>
            <w:pPr/>
            <w:r>
              <w:t xml:space="preserve">Wills Act 1837, unless the state has passed its own Wills Law</w:t>
            </w:r>
          </w:p>
        </w:tc>
      </w:tr>
    </w:tbl>
    <w:p>
      <w:pPr/>
      <w:r>
        <w:t xml:space="preserve">In Lagos, the Tenancy Law 2011 does not apply in Apapa, Ikeja GRA, Ikoyi and Victoria Island. The older Rent Control and Recovery of Residential Premises Law 1997 covers homes there, and the Recovery of Premises Law covers business premises. The notice periods are the same.</w:t>
      </w:r>
    </w:p>
    <w:p>
      <w:pPr>
        <w:pStyle w:val="Heading2"/>
      </w:pPr>
      <w:r>
        <w:t xml:space="preserve">1. Recovery of premises</w:t>
      </w:r>
    </w:p>
    <w:p>
      <w:pPr/>
      <w:r>
        <w:rPr>
          <w:b/>
        </w:rPr>
        <w:t xml:space="preserve">What the agent does.</w:t>
      </w:r>
      <w:r>
        <w:t xml:space="preserve"> It drafts the Notice to Quit, the Seven Days' Notice of Owner's Intention to Recover Possession and rent demand letters. It works out arrears and mesne profits. It explains the two steps every time: notice first, then a court application.</w:t>
      </w:r>
    </w:p>
    <w:p>
      <w:pPr/>
      <w:r>
        <w:rPr>
          <w:b/>
        </w:rPr>
        <w:t xml:space="preserve">Applicable law.</w:t>
      </w:r>
      <w:r>
        <w:t xml:space="preserve"> Lagos Tenancy Law 2011 (section 13 for notice periods); Recovery of Premises Act in the FCT (sections 7 to 9); the recovery of premises law of each other state.</w:t>
      </w:r>
    </w:p>
    <w:p>
      <w:pPr/>
      <w:r>
        <w:rPr>
          <w:b/>
        </w:rPr>
        <w:t xml:space="preserve">Notice periods.</w:t>
      </w:r>
      <w:r>
        <w:t xml:space="preserve"> These apply where the tenancy agreement does not state its own period.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Tenancy</w:t>
            </w:r>
          </w:p>
        </w:tc>
        <w:tc>
          <w:tcPr>
            <w:tcW w:w="3120" w:type="dxa"/>
            <w:shd w:val="clear" w:color="auto" w:fill="F2F2F2"/>
          </w:tcPr>
          <w:p>
            <w:pPr/>
            <w:r>
              <w:t xml:space="preserve">Notice to Quit</w:t>
            </w:r>
          </w:p>
        </w:tc>
        <w:tc>
          <w:tcPr>
            <w:tcW w:w="3120" w:type="dxa"/>
            <w:shd w:val="clear" w:color="auto" w:fill="F2F2F2"/>
          </w:tcPr>
          <w:p>
            <w:pPr/>
            <w:r>
              <w:t xml:space="preserve">Then</w:t>
            </w:r>
          </w:p>
        </w:tc>
      </w:tr>
      <w:tr>
        <w:tc>
          <w:tcPr>
            <w:tcW w:w="3120" w:type="dxa"/>
          </w:tcPr>
          <w:p>
            <w:pPr/>
            <w:r>
              <w:t xml:space="preserve">Tenancy at will</w:t>
            </w:r>
          </w:p>
        </w:tc>
        <w:tc>
          <w:tcPr>
            <w:tcW w:w="3120" w:type="dxa"/>
          </w:tcPr>
          <w:p>
            <w:pPr/>
            <w:r>
              <w:t xml:space="preserve">1 week</w:t>
            </w:r>
          </w:p>
        </w:tc>
        <w:tc>
          <w:tcPr>
            <w:tcW w:w="3120" w:type="dxa"/>
          </w:tcPr>
          <w:p>
            <w:pPr/>
            <w:r>
              <w:t xml:space="preserve">7 days' notice</w:t>
            </w:r>
          </w:p>
        </w:tc>
      </w:tr>
      <w:tr>
        <w:tc>
          <w:tcPr>
            <w:tcW w:w="3120" w:type="dxa"/>
          </w:tcPr>
          <w:p>
            <w:pPr/>
            <w:r>
              <w:t xml:space="preserve">Monthly</w:t>
            </w:r>
          </w:p>
        </w:tc>
        <w:tc>
          <w:tcPr>
            <w:tcW w:w="3120" w:type="dxa"/>
          </w:tcPr>
          <w:p>
            <w:pPr/>
            <w:r>
              <w:t xml:space="preserve">1 month</w:t>
            </w:r>
          </w:p>
        </w:tc>
        <w:tc>
          <w:tcPr>
            <w:tcW w:w="3120" w:type="dxa"/>
          </w:tcPr>
          <w:p>
            <w:pPr/>
            <w:r>
              <w:t xml:space="preserve">7 days' notice</w:t>
            </w:r>
          </w:p>
        </w:tc>
      </w:tr>
      <w:tr>
        <w:tc>
          <w:tcPr>
            <w:tcW w:w="3120" w:type="dxa"/>
          </w:tcPr>
          <w:p>
            <w:pPr/>
            <w:r>
              <w:t xml:space="preserve">Quarterly</w:t>
            </w:r>
          </w:p>
        </w:tc>
        <w:tc>
          <w:tcPr>
            <w:tcW w:w="3120" w:type="dxa"/>
          </w:tcPr>
          <w:p>
            <w:pPr/>
            <w:r>
              <w:t xml:space="preserve">3 months</w:t>
            </w:r>
          </w:p>
        </w:tc>
        <w:tc>
          <w:tcPr>
            <w:tcW w:w="3120" w:type="dxa"/>
          </w:tcPr>
          <w:p>
            <w:pPr/>
            <w:r>
              <w:t xml:space="preserve">7 days' notice</w:t>
            </w:r>
          </w:p>
        </w:tc>
      </w:tr>
      <w:tr>
        <w:tc>
          <w:tcPr>
            <w:tcW w:w="3120" w:type="dxa"/>
          </w:tcPr>
          <w:p>
            <w:pPr/>
            <w:r>
              <w:t xml:space="preserve">Half-yearly</w:t>
            </w:r>
          </w:p>
        </w:tc>
        <w:tc>
          <w:tcPr>
            <w:tcW w:w="3120" w:type="dxa"/>
          </w:tcPr>
          <w:p>
            <w:pPr/>
            <w:r>
              <w:t xml:space="preserve">3 months</w:t>
            </w:r>
          </w:p>
        </w:tc>
        <w:tc>
          <w:tcPr>
            <w:tcW w:w="3120" w:type="dxa"/>
          </w:tcPr>
          <w:p>
            <w:pPr/>
            <w:r>
              <w:t xml:space="preserve">7 days' notice</w:t>
            </w:r>
          </w:p>
        </w:tc>
      </w:tr>
      <w:tr>
        <w:tc>
          <w:tcPr>
            <w:tcW w:w="3120" w:type="dxa"/>
          </w:tcPr>
          <w:p>
            <w:pPr/>
            <w:r>
              <w:t xml:space="preserve">Yearly</w:t>
            </w:r>
          </w:p>
        </w:tc>
        <w:tc>
          <w:tcPr>
            <w:tcW w:w="3120" w:type="dxa"/>
          </w:tcPr>
          <w:p>
            <w:pPr/>
            <w:r>
              <w:t xml:space="preserve">6 months</w:t>
            </w:r>
          </w:p>
        </w:tc>
        <w:tc>
          <w:tcPr>
            <w:tcW w:w="3120" w:type="dxa"/>
          </w:tcPr>
          <w:p>
            <w:pPr/>
            <w:r>
              <w:t xml:space="preserve">7 days' notice</w:t>
            </w:r>
          </w:p>
        </w:tc>
      </w:tr>
      <w:tr>
        <w:tc>
          <w:tcPr>
            <w:tcW w:w="3120" w:type="dxa"/>
          </w:tcPr>
          <w:p>
            <w:pPr/>
            <w:r>
              <w:t xml:space="preserve">Fixed term that has expired</w:t>
            </w:r>
          </w:p>
        </w:tc>
        <w:tc>
          <w:tcPr>
            <w:tcW w:w="3120" w:type="dxa"/>
          </w:tcPr>
          <w:p>
            <w:pPr/>
            <w:r>
              <w:t xml:space="preserve">None</w:t>
            </w:r>
          </w:p>
        </w:tc>
        <w:tc>
          <w:tcPr>
            <w:tcW w:w="3120" w:type="dxa"/>
          </w:tcPr>
          <w:p>
            <w:pPr/>
            <w:r>
              <w:t xml:space="preserve">7 days' notice</w:t>
            </w:r>
          </w:p>
        </w:tc>
      </w:tr>
    </w:tbl>
    <w:p>
      <w:pPr/>
      <w:r>
        <w:rPr>
          <w:b/>
        </w:rPr>
        <w:t xml:space="preserve">Main rules.</w:t>
      </w:r>
    </w:p>
    <w:p>
      <w:pPr>
        <w:pStyle w:val="ListParagraph"/>
        <w:numPr>
          <w:ilvl w:val="0"/>
          <w:numId w:val="2"/>
        </w:numPr>
      </w:pPr>
      <w:r>
        <w:rPr>
          <w:b/>
        </w:rPr>
        <w:t xml:space="preserve">Agreement first.</w:t>
      </w:r>
      <w:r>
        <w:t xml:space="preserve"> If the tenancy agreement states a notice period, that period applies.</w:t>
      </w:r>
    </w:p>
    <w:p>
      <w:pPr>
        <w:pStyle w:val="ListParagraph"/>
        <w:numPr>
          <w:ilvl w:val="0"/>
          <w:numId w:val="2"/>
        </w:numPr>
      </w:pPr>
      <w:r>
        <w:rPr>
          <w:b/>
        </w:rPr>
        <w:t xml:space="preserve">Type of tenancy.</w:t>
      </w:r>
      <w:r>
        <w:t xml:space="preserve"> It follows how rent is paid, not how long the tenant has stayed. A tenant paying yearly rent with no end date is a yearly tenant.</w:t>
      </w:r>
    </w:p>
    <w:p>
      <w:pPr>
        <w:pStyle w:val="ListParagraph"/>
        <w:numPr>
          <w:ilvl w:val="0"/>
          <w:numId w:val="2"/>
        </w:numPr>
      </w:pPr>
      <w:r>
        <w:rPr>
          <w:b/>
        </w:rPr>
        <w:t xml:space="preserve">Fixed term.</w:t>
      </w:r>
      <w:r>
        <w:t xml:space="preserve"> When a fixed term ends, no Notice to Quit is needed, only the seven days' notice. If the landlord has taken rent after the term ended, the tenant has usually become a periodic tenant and needs a Notice to Quit.</w:t>
      </w:r>
    </w:p>
    <w:p>
      <w:pPr>
        <w:pStyle w:val="ListParagraph"/>
        <w:numPr>
          <w:ilvl w:val="0"/>
          <w:numId w:val="2"/>
        </w:numPr>
      </w:pPr>
      <w:r>
        <w:rPr>
          <w:b/>
        </w:rPr>
        <w:t xml:space="preserve">Yearly tenancy.</w:t>
      </w:r>
      <w:r>
        <w:t xml:space="preserve"> Serve the notice at least six months before the tenancy year ends, and name the last day of that year as the date to quit. That is safe in every state.</w:t>
      </w:r>
    </w:p>
    <w:p>
      <w:pPr>
        <w:pStyle w:val="ListParagraph"/>
        <w:numPr>
          <w:ilvl w:val="0"/>
          <w:numId w:val="2"/>
        </w:numPr>
      </w:pPr>
      <w:r>
        <w:rPr>
          <w:b/>
        </w:rPr>
        <w:t xml:space="preserve">Counting.</w:t>
      </w:r>
      <w:r>
        <w:t xml:space="preserve"> Time runs from the day the tenant receives the notice. A notice short by one day is invalid.</w:t>
      </w:r>
    </w:p>
    <w:p>
      <w:pPr>
        <w:pStyle w:val="ListParagraph"/>
        <w:numPr>
          <w:ilvl w:val="0"/>
          <w:numId w:val="2"/>
        </w:numPr>
      </w:pPr>
      <w:r>
        <w:rPr>
          <w:b/>
        </w:rPr>
        <w:t xml:space="preserve">Seven days' notice.</w:t>
      </w:r>
      <w:r>
        <w:t xml:space="preserve"> It is served only after the Notice to Quit has expired or the fixed term has ended.</w:t>
      </w:r>
    </w:p>
    <w:p>
      <w:pPr>
        <w:pStyle w:val="ListParagraph"/>
        <w:numPr>
          <w:ilvl w:val="0"/>
          <w:numId w:val="2"/>
        </w:numPr>
      </w:pPr>
      <w:r>
        <w:rPr>
          <w:b/>
        </w:rPr>
        <w:t xml:space="preserve">Lagos arrears rule.</w:t>
      </w:r>
      <w:r>
        <w:t xml:space="preserve"> A monthly tenant owing six months' rent, or a quarterly or half-yearly tenant owing one year's rent, gets no Notice to Quit. The tenancy lapses and only the seven days' notice is served.</w:t>
      </w:r>
    </w:p>
    <w:p>
      <w:pPr>
        <w:pStyle w:val="ListParagraph"/>
        <w:numPr>
          <w:ilvl w:val="0"/>
          <w:numId w:val="2"/>
        </w:numPr>
      </w:pPr>
      <w:r>
        <w:rPr>
          <w:b/>
        </w:rPr>
        <w:t xml:space="preserve">Lagos advance rent.</w:t>
      </w:r>
      <w:r>
        <w:t xml:space="preserve"> A landlord cannot demand more than one year's rent from a new tenant or a sitting yearly tenant, or more than six months from a sitting monthly tenant.</w:t>
      </w:r>
    </w:p>
    <w:p>
      <w:pPr>
        <w:pStyle w:val="ListParagraph"/>
        <w:numPr>
          <w:ilvl w:val="0"/>
          <w:numId w:val="2"/>
        </w:numPr>
      </w:pPr>
      <w:r>
        <w:rPr>
          <w:b/>
        </w:rPr>
        <w:t xml:space="preserve">Who signs.</w:t>
      </w:r>
      <w:r>
        <w:t xml:space="preserve"> The landlord, or an agent or lawyer with the landlord's written authority.</w:t>
      </w:r>
    </w:p>
    <w:p>
      <w:pPr>
        <w:pStyle w:val="ListParagraph"/>
        <w:numPr>
          <w:ilvl w:val="0"/>
          <w:numId w:val="2"/>
        </w:numPr>
      </w:pPr>
      <w:r>
        <w:rPr>
          <w:b/>
        </w:rPr>
        <w:t xml:space="preserve">No self-help.</w:t>
      </w:r>
      <w:r>
        <w:t xml:space="preserve"> Only a court can order a tenant out. In Lagos, forcing a tenant out is a criminal offence.</w:t>
      </w:r>
    </w:p>
    <w:p>
      <w:pPr/>
      <w:r>
        <w:rPr>
          <w:b/>
        </w:rPr>
        <w:t xml:space="preserve">Arrears and mesne profits.</w:t>
      </w:r>
      <w:r>
        <w:t xml:space="preserve"> Arrears of rent run up to the day the tenancy ended. Mesne profits run from the next day until the tenant leaves, at the current rental value. For part periods: annual rent, divided by 365, times the number of days. Example: rent of ₦1,200,000 a year and 90 days of holding over gives ₦295,890.41.</w:t>
      </w:r>
    </w:p>
    <w:p>
      <w:pPr/>
      <w:r>
        <w:rPr>
          <w:b/>
        </w:rPr>
        <w:t xml:space="preserve">Fee.</w:t>
      </w:r>
      <w:r>
        <w:t xml:space="preserve"> ₦25,000 per document.</w:t>
      </w:r>
    </w:p>
    <w:p>
      <w:pPr>
        <w:pStyle w:val="Heading2"/>
      </w:pPr>
      <w:r>
        <w:t xml:space="preserve">2. Tenancy, lease and sublease</w:t>
      </w:r>
    </w:p>
    <w:p>
      <w:pPr/>
      <w:r>
        <w:rPr>
          <w:b/>
        </w:rPr>
        <w:t xml:space="preserve">What the agent does.</w:t>
      </w:r>
      <w:r>
        <w:t xml:space="preserve"> It drafts Tenancy Agreements, Deeds of Lease and Deeds of Sublease, and tells the client which one fits.</w:t>
      </w:r>
    </w:p>
    <w:p>
      <w:pPr/>
      <w:r>
        <w:rPr>
          <w:b/>
        </w:rPr>
        <w:t xml:space="preserve">Applicable law.</w:t>
      </w:r>
      <w:r>
        <w:t xml:space="preserve"> The state's tenancy law; PCL 1959 in the western states; the Statute of Frauds 1677, Real Property Act 1845 and Conveyancing Act 1881 elsewhere; the Land Use Act 1978.</w:t>
      </w:r>
    </w:p>
    <w:p>
      <w:pPr/>
      <w:r>
        <w:rPr>
          <w:b/>
        </w:rPr>
        <w:t xml:space="preserve">The three-year line.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Three years or less</w:t>
            </w:r>
          </w:p>
        </w:tc>
        <w:tc>
          <w:tcPr>
            <w:tcW w:w="3120" w:type="dxa"/>
            <w:shd w:val="clear" w:color="auto" w:fill="F2F2F2"/>
          </w:tcPr>
          <w:p>
            <w:pPr/>
            <w:r>
              <w:t xml:space="preserve">More than three years</w:t>
            </w:r>
          </w:p>
        </w:tc>
      </w:tr>
      <w:tr>
        <w:tc>
          <w:tcPr>
            <w:tcW w:w="3120" w:type="dxa"/>
          </w:tcPr>
          <w:p>
            <w:pPr/>
            <w:r>
              <w:t xml:space="preserve">Document</w:t>
            </w:r>
          </w:p>
        </w:tc>
        <w:tc>
          <w:tcPr>
            <w:tcW w:w="3120" w:type="dxa"/>
          </w:tcPr>
          <w:p>
            <w:pPr/>
            <w:r>
              <w:t xml:space="preserve">Tenancy Agreement</w:t>
            </w:r>
          </w:p>
        </w:tc>
        <w:tc>
          <w:tcPr>
            <w:tcW w:w="3120" w:type="dxa"/>
          </w:tcPr>
          <w:p>
            <w:pPr/>
            <w:r>
              <w:t xml:space="preserve">Deed of Lease</w:t>
            </w:r>
          </w:p>
        </w:tc>
      </w:tr>
      <w:tr>
        <w:tc>
          <w:tcPr>
            <w:tcW w:w="3120" w:type="dxa"/>
          </w:tcPr>
          <w:p>
            <w:pPr/>
            <w:r>
              <w:t xml:space="preserve">How it is made</w:t>
            </w:r>
          </w:p>
        </w:tc>
        <w:tc>
          <w:tcPr>
            <w:tcW w:w="3120" w:type="dxa"/>
          </w:tcPr>
          <w:p>
            <w:pPr/>
            <w:r>
              <w:t xml:space="preserve">In writing, signed by both parties</w:t>
            </w:r>
          </w:p>
        </w:tc>
        <w:tc>
          <w:tcPr>
            <w:tcW w:w="3120" w:type="dxa"/>
          </w:tcPr>
          <w:p>
            <w:pPr/>
            <w:r>
              <w:t xml:space="preserve">By deed, signed and witnessed. Without a deed it passes no legal estate</w:t>
            </w:r>
          </w:p>
        </w:tc>
      </w:tr>
      <w:tr>
        <w:tc>
          <w:tcPr>
            <w:tcW w:w="3120" w:type="dxa"/>
          </w:tcPr>
          <w:p>
            <w:pPr/>
            <w:r>
              <w:t xml:space="preserve">After signing</w:t>
            </w:r>
          </w:p>
        </w:tc>
        <w:tc>
          <w:tcPr>
            <w:tcW w:w="3120" w:type="dxa"/>
          </w:tcPr>
          <w:p>
            <w:pPr/>
            <w:r>
              <w:t xml:space="preserve">Stamp</w:t>
            </w:r>
          </w:p>
        </w:tc>
        <w:tc>
          <w:tcPr>
            <w:tcW w:w="3120" w:type="dxa"/>
          </w:tcPr>
          <w:p>
            <w:pPr/>
            <w:r>
              <w:t xml:space="preserve">Governor's Consent, stamp and register</w:t>
            </w:r>
          </w:p>
        </w:tc>
      </w:tr>
    </w:tbl>
    <w:p>
      <w:pPr/>
      <w:r>
        <w:rPr>
          <w:b/>
        </w:rPr>
        <w:t xml:space="preserve">Main rules.</w:t>
      </w:r>
    </w:p>
    <w:p>
      <w:pPr>
        <w:pStyle w:val="ListParagraph"/>
        <w:numPr>
          <w:ilvl w:val="0"/>
          <w:numId w:val="3"/>
        </w:numPr>
      </w:pPr>
      <w:r>
        <w:rPr>
          <w:b/>
        </w:rPr>
        <w:t xml:space="preserve">Fixed term or periodic.</w:t>
      </w:r>
      <w:r>
        <w:t xml:space="preserve"> "A term of one year from 1 January 2027" is a fixed term and ends on its date. "A yearly tenancy" is periodic and needs six months' notice. The agent asks the landlord which is intended.</w:t>
      </w:r>
    </w:p>
    <w:p>
      <w:pPr>
        <w:pStyle w:val="ListParagraph"/>
        <w:numPr>
          <w:ilvl w:val="0"/>
          <w:numId w:val="3"/>
        </w:numPr>
      </w:pPr>
      <w:r>
        <w:rPr>
          <w:b/>
        </w:rPr>
        <w:t xml:space="preserve">Notice clause.</w:t>
      </w:r>
      <w:r>
        <w:t xml:space="preserve"> Every agreement states its own notice period, because that period overrides the statutory one.</w:t>
      </w:r>
    </w:p>
    <w:p>
      <w:pPr>
        <w:pStyle w:val="ListParagraph"/>
        <w:numPr>
          <w:ilvl w:val="0"/>
          <w:numId w:val="3"/>
        </w:numPr>
      </w:pPr>
      <w:r>
        <w:rPr>
          <w:b/>
        </w:rPr>
        <w:t xml:space="preserve">Lagos.</w:t>
      </w:r>
      <w:r>
        <w:t xml:space="preserve"> The advance rent limits apply whatever the agreement says, and the landlord must give a receipt for rent.</w:t>
      </w:r>
    </w:p>
    <w:p>
      <w:pPr>
        <w:pStyle w:val="ListParagraph"/>
        <w:numPr>
          <w:ilvl w:val="0"/>
          <w:numId w:val="3"/>
        </w:numPr>
      </w:pPr>
      <w:r>
        <w:rPr>
          <w:b/>
        </w:rPr>
        <w:t xml:space="preserve">Usual terms.</w:t>
      </w:r>
      <w:r>
        <w:t xml:space="preserve"> Parties, premises, term, rent and how it is paid, caution deposit, service charge, use, repairs, alterations, subletting, renewal and rent review.</w:t>
      </w:r>
    </w:p>
    <w:p>
      <w:pPr/>
      <w:r>
        <w:rPr>
          <w:b/>
        </w:rPr>
        <w:t xml:space="preserve">Sublease.</w:t>
      </w:r>
    </w:p>
    <w:p>
      <w:pPr>
        <w:pStyle w:val="ListParagraph"/>
        <w:numPr>
          <w:ilvl w:val="0"/>
          <w:numId w:val="4"/>
        </w:numPr>
      </w:pPr>
      <w:r>
        <w:t xml:space="preserve">The tenant becomes landlord to a subtenant, while staying liable to the head landlord.</w:t>
      </w:r>
    </w:p>
    <w:p>
      <w:pPr>
        <w:pStyle w:val="ListParagraph"/>
        <w:numPr>
          <w:ilvl w:val="0"/>
          <w:numId w:val="4"/>
        </w:numPr>
      </w:pPr>
      <w:r>
        <w:t xml:space="preserve">The subterm must be shorter than what is left of the head lease, by at least one day.</w:t>
      </w:r>
    </w:p>
    <w:p>
      <w:pPr>
        <w:pStyle w:val="ListParagraph"/>
        <w:numPr>
          <w:ilvl w:val="0"/>
          <w:numId w:val="4"/>
        </w:numPr>
      </w:pPr>
      <w:r>
        <w:t xml:space="preserve">The head lease is checked first. If it forbids subletting or requires consent, the head landlord's written consent is obtained before the sublease is signed.</w:t>
      </w:r>
    </w:p>
    <w:p>
      <w:pPr>
        <w:pStyle w:val="ListParagraph"/>
        <w:numPr>
          <w:ilvl w:val="0"/>
          <w:numId w:val="4"/>
        </w:numPr>
      </w:pPr>
      <w:r>
        <w:t xml:space="preserve">A sublease of more than three years is made by deed, and section 22 of the Land Use Act requires Governor's Consent.</w:t>
      </w:r>
    </w:p>
    <w:p>
      <w:pPr>
        <w:pStyle w:val="ListParagraph"/>
        <w:numPr>
          <w:ilvl w:val="0"/>
          <w:numId w:val="4"/>
        </w:numPr>
      </w:pPr>
      <w:r>
        <w:t xml:space="preserve">The sublease repeats the head lease covenants, so the subtenant cannot do what the tenant is forbidden to do.</w:t>
      </w:r>
    </w:p>
    <w:p>
      <w:pPr/>
      <w:r>
        <w:rPr>
          <w:b/>
        </w:rPr>
        <w:t xml:space="preserve">Fee.</w:t>
      </w:r>
      <w:r>
        <w:t xml:space="preserve"> ₦25,000 per document. Sublease fee to be set.</w:t>
      </w:r>
    </w:p>
    <w:p>
      <w:pPr>
        <w:pStyle w:val="Heading2"/>
      </w:pPr>
      <w:r>
        <w:t xml:space="preserve">3. Conveyancing</w:t>
      </w:r>
    </w:p>
    <w:p>
      <w:pPr/>
      <w:r>
        <w:rPr>
          <w:b/>
        </w:rPr>
        <w:t xml:space="preserve">What the agent does.</w:t>
      </w:r>
      <w:r>
        <w:t xml:space="preserve"> It drafts the Deed of Assignment for a sale and prepares the Governor's Consent application. It explains what happens after signing.</w:t>
      </w:r>
    </w:p>
    <w:p>
      <w:pPr/>
      <w:r>
        <w:rPr>
          <w:b/>
        </w:rPr>
        <w:t xml:space="preserve">Applicable law.</w:t>
      </w:r>
      <w:r>
        <w:t xml:space="preserve"> Land Use Act 1978 everywhere. PCL 1959 in Oyo, Ogun, Ondo, Osun, Ekiti, Edo and Delta. Conveyancing Act 1881 in the FCT and the northern and eastern states. In Lagos, the Land Registration Law 2015 as well.</w:t>
      </w:r>
    </w:p>
    <w:p>
      <w:pPr/>
      <w:r>
        <w:rPr>
          <w:b/>
        </w:rPr>
        <w:t xml:space="preserve">Main rules.</w:t>
      </w:r>
    </w:p>
    <w:p>
      <w:pPr>
        <w:pStyle w:val="ListParagraph"/>
        <w:numPr>
          <w:ilvl w:val="0"/>
          <w:numId w:val="5"/>
        </w:numPr>
      </w:pPr>
      <w:r>
        <w:rPr>
          <w:b/>
        </w:rPr>
        <w:t xml:space="preserve">Why an assignment.</w:t>
      </w:r>
      <w:r>
        <w:t xml:space="preserve"> Under section 1 of the Land Use Act all land is vested in the Governor. An owner holds a right of occupancy and assigns what is left of it.</w:t>
      </w:r>
    </w:p>
    <w:p>
      <w:pPr>
        <w:pStyle w:val="ListParagraph"/>
        <w:numPr>
          <w:ilvl w:val="0"/>
          <w:numId w:val="5"/>
        </w:numPr>
      </w:pPr>
      <w:r>
        <w:rPr>
          <w:b/>
        </w:rPr>
        <w:t xml:space="preserve">Governor's Consent.</w:t>
      </w:r>
      <w:r>
        <w:t xml:space="preserve"> Section 22 forbids a holder to assign, mortgage or sublease without the Governor's consent. Section 26 makes a transfer without consent void. In the FCT the Minister gives the consent.</w:t>
      </w:r>
    </w:p>
    <w:p>
      <w:pPr>
        <w:pStyle w:val="ListParagraph"/>
        <w:numPr>
          <w:ilvl w:val="0"/>
          <w:numId w:val="5"/>
        </w:numPr>
      </w:pPr>
      <w:r>
        <w:rPr>
          <w:b/>
        </w:rPr>
        <w:t xml:space="preserve">Sign, then apply.</w:t>
      </w:r>
      <w:r>
        <w:t xml:space="preserve"> The parties may sign the deed before consent. The deed is incomplete until consent is given (Awojugbagbe Light Industries v Chinukwe).</w:t>
      </w:r>
    </w:p>
    <w:p>
      <w:pPr>
        <w:pStyle w:val="ListParagraph"/>
        <w:numPr>
          <w:ilvl w:val="0"/>
          <w:numId w:val="5"/>
        </w:numPr>
      </w:pPr>
      <w:r>
        <w:rPr>
          <w:b/>
        </w:rPr>
        <w:t xml:space="preserve">Older land too.</w:t>
      </w:r>
      <w:r>
        <w:t xml:space="preserve"> Consent is needed even where the land was held before 1978 (Savannah Bank v Ajilo).</w:t>
      </w:r>
    </w:p>
    <w:p>
      <w:pPr>
        <w:pStyle w:val="ListParagraph"/>
        <w:numPr>
          <w:ilvl w:val="0"/>
          <w:numId w:val="5"/>
        </w:numPr>
      </w:pPr>
      <w:r>
        <w:rPr>
          <w:b/>
        </w:rPr>
        <w:t xml:space="preserve">Perfection.</w:t>
      </w:r>
      <w:r>
        <w:t xml:space="preserve"> After signing come Governor's Consent, stamp duty and registration at the lands registry.</w:t>
      </w:r>
    </w:p>
    <w:p>
      <w:pPr>
        <w:pStyle w:val="ListParagraph"/>
        <w:numPr>
          <w:ilvl w:val="0"/>
          <w:numId w:val="5"/>
        </w:numPr>
      </w:pPr>
      <w:r>
        <w:rPr>
          <w:b/>
        </w:rPr>
        <w:t xml:space="preserve">Government charges.</w:t>
      </w:r>
      <w:r>
        <w:t xml:space="preserve"> They are assessed by the state on its own valuation, not on the price in the deed. They are separate from the firm's 2.5%, and the agent does not quote them.</w:t>
      </w:r>
    </w:p>
    <w:p>
      <w:pPr>
        <w:pStyle w:val="ListParagraph"/>
        <w:numPr>
          <w:ilvl w:val="0"/>
          <w:numId w:val="5"/>
        </w:numPr>
      </w:pPr>
      <w:r>
        <w:rPr>
          <w:b/>
        </w:rPr>
        <w:t xml:space="preserve">Tax.</w:t>
      </w:r>
      <w:r>
        <w:t xml:space="preserve"> Stamp duty and capital gains tax are now under the Nigeria Tax Act 2025. Capital gains tax is the seller's.</w:t>
      </w:r>
    </w:p>
    <w:p>
      <w:pPr>
        <w:pStyle w:val="ListParagraph"/>
        <w:numPr>
          <w:ilvl w:val="0"/>
          <w:numId w:val="5"/>
        </w:numPr>
      </w:pPr>
      <w:r>
        <w:rPr>
          <w:b/>
        </w:rPr>
        <w:t xml:space="preserve">Root of title.</w:t>
      </w:r>
      <w:r>
        <w:t xml:space="preserve"> The seller's title is traced back 40 years in CA states and 30 years in PCL states.</w:t>
      </w:r>
    </w:p>
    <w:p>
      <w:pPr>
        <w:pStyle w:val="ListParagraph"/>
        <w:numPr>
          <w:ilvl w:val="0"/>
          <w:numId w:val="5"/>
        </w:numPr>
      </w:pPr>
      <w:r>
        <w:rPr>
          <w:b/>
        </w:rPr>
        <w:t xml:space="preserve">What the deed contains.</w:t>
      </w:r>
      <w:r>
        <w:t xml:space="preserve"> Parties, recitals of the seller's title, the price and receipt, the words of assignment, the description of the land with the survey plan, covenants, and signatures with witnesses.</w:t>
      </w:r>
    </w:p>
    <w:p>
      <w:pPr>
        <w:pStyle w:val="ListParagraph"/>
        <w:numPr>
          <w:ilvl w:val="0"/>
          <w:numId w:val="5"/>
        </w:numPr>
      </w:pPr>
      <w:r>
        <w:rPr>
          <w:b/>
        </w:rPr>
        <w:t xml:space="preserve">Signing.</w:t>
      </w:r>
      <w:r>
        <w:t xml:space="preserve"> A company signs under the Companies and Allied Matters Act 2020. A person who cannot read needs a jurat. An attorney signs only under a registered power of attorney.</w:t>
      </w:r>
    </w:p>
    <w:p>
      <w:pPr>
        <w:pStyle w:val="ListParagraph"/>
        <w:numPr>
          <w:ilvl w:val="0"/>
          <w:numId w:val="5"/>
        </w:numPr>
      </w:pPr>
      <w:r>
        <w:rPr>
          <w:b/>
        </w:rPr>
        <w:t xml:space="preserve">Family land.</w:t>
      </w:r>
      <w:r>
        <w:t xml:space="preserve"> The head of the family and the principal members must all join in the sale.</w:t>
      </w:r>
    </w:p>
    <w:p>
      <w:pPr/>
      <w:r>
        <w:rPr>
          <w:b/>
        </w:rPr>
        <w:t xml:space="preserve">Fee.</w:t>
      </w:r>
      <w:r>
        <w:t xml:space="preserve"> 2.5% of the consideration, with no separate drafting fee.</w:t>
      </w:r>
    </w:p>
    <w:p>
      <w:pPr>
        <w:pStyle w:val="Heading2"/>
      </w:pPr>
      <w:r>
        <w:t xml:space="preserve">4. Other property instruments</w:t>
      </w:r>
    </w:p>
    <w:p>
      <w:pPr/>
      <w:r>
        <w:rPr>
          <w:b/>
        </w:rPr>
        <w:t xml:space="preserve">What the agent does.</w:t>
      </w:r>
      <w:r>
        <w:t xml:space="preserve"> It drafts the Deed of Gift, Deed of Legal Mortgage or Legal Charge, Power of Attorney and Agreement for Sale of Land.</w:t>
      </w:r>
    </w:p>
    <w:p>
      <w:pPr/>
      <w:r>
        <w:rPr>
          <w:b/>
        </w:rPr>
        <w:t xml:space="preserve">Applicable law.</w:t>
      </w:r>
      <w:r>
        <w:t xml:space="preserve"> PCL 1959 in the western states; Conveyancing Acts 1881 and 1882 in the FCT and the northern and eastern states; Mortgage and Property Law 2010 in Lagos; the Land Use Act 1978; the Companies and Allied Matters Act 2020 for company borrowers.</w:t>
      </w:r>
    </w:p>
    <w:p>
      <w:pPr/>
      <w:r>
        <w:rPr>
          <w:b/>
        </w:rPr>
        <w:t xml:space="preserve">Deed of Gift.</w:t>
      </w:r>
    </w:p>
    <w:p>
      <w:pPr>
        <w:pStyle w:val="ListParagraph"/>
        <w:numPr>
          <w:ilvl w:val="0"/>
          <w:numId w:val="6"/>
        </w:numPr>
      </w:pPr>
      <w:r>
        <w:t xml:space="preserve">A gift has no price, so it must be made by deed.</w:t>
      </w:r>
    </w:p>
    <w:p>
      <w:pPr>
        <w:pStyle w:val="ListParagraph"/>
        <w:numPr>
          <w:ilvl w:val="0"/>
          <w:numId w:val="6"/>
        </w:numPr>
      </w:pPr>
      <w:r>
        <w:t xml:space="preserve">It needs Governor's Consent, stamping and registration, like a sale.</w:t>
      </w:r>
    </w:p>
    <w:p>
      <w:pPr>
        <w:pStyle w:val="ListParagraph"/>
        <w:numPr>
          <w:ilvl w:val="0"/>
          <w:numId w:val="6"/>
        </w:numPr>
      </w:pPr>
      <w:r>
        <w:t xml:space="preserve">Government charges are assessed on the property's value even though nothing is paid.</w:t>
      </w:r>
    </w:p>
    <w:p>
      <w:pPr>
        <w:pStyle w:val="ListParagraph"/>
        <w:numPr>
          <w:ilvl w:val="0"/>
          <w:numId w:val="6"/>
        </w:numPr>
      </w:pPr>
      <w:r>
        <w:t xml:space="preserve">A completed gift cannot be taken back.</w:t>
      </w:r>
    </w:p>
    <w:p>
      <w:pPr>
        <w:pStyle w:val="ListParagraph"/>
        <w:numPr>
          <w:ilvl w:val="0"/>
          <w:numId w:val="6"/>
        </w:numPr>
      </w:pPr>
      <w:r>
        <w:t xml:space="preserve">A gift meant to take effect only on death is a will and is handled under section 6.</w:t>
      </w:r>
    </w:p>
    <w:p>
      <w:pPr/>
      <w:r>
        <w:rPr>
          <w:b/>
        </w:rPr>
        <w:t xml:space="preserve">Deed of Legal Mortgage / Legal Charge.</w:t>
      </w:r>
      <w:r>
        <w:t xml:space="preserve"> How the mortgage is created depends on the state.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Where</w:t>
            </w:r>
          </w:p>
        </w:tc>
        <w:tc>
          <w:tcPr>
            <w:tcW w:w="4680" w:type="dxa"/>
            <w:shd w:val="clear" w:color="auto" w:fill="F2F2F2"/>
          </w:tcPr>
          <w:p>
            <w:pPr/>
            <w:r>
              <w:t xml:space="preserve">How a legal mortgage is created</w:t>
            </w:r>
          </w:p>
        </w:tc>
      </w:tr>
      <w:tr>
        <w:tc>
          <w:tcPr>
            <w:tcW w:w="4680" w:type="dxa"/>
          </w:tcPr>
          <w:p>
            <w:pPr/>
            <w:r>
              <w:t xml:space="preserve">FCT, northern and eastern states (CA)</w:t>
            </w:r>
          </w:p>
        </w:tc>
        <w:tc>
          <w:tcPr>
            <w:tcW w:w="4680" w:type="dxa"/>
          </w:tcPr>
          <w:p>
            <w:pPr/>
            <w:r>
              <w:t xml:space="preserve">Assignment of the borrower's interest with a promise to reassign on repayment, or a sub-demise for a term at least one day shorter</w:t>
            </w:r>
          </w:p>
        </w:tc>
      </w:tr>
      <w:tr>
        <w:tc>
          <w:tcPr>
            <w:tcW w:w="4680" w:type="dxa"/>
          </w:tcPr>
          <w:p>
            <w:pPr/>
            <w:r>
              <w:t xml:space="preserve">Western states (PCL)</w:t>
            </w:r>
          </w:p>
        </w:tc>
        <w:tc>
          <w:tcPr>
            <w:tcW w:w="4680" w:type="dxa"/>
          </w:tcPr>
          <w:p>
            <w:pPr/>
            <w:r>
              <w:t xml:space="preserve">Sub-demise for a term at least one day shorter, or a charge by deed expressed to be by way of legal mortgage</w:t>
            </w:r>
          </w:p>
        </w:tc>
      </w:tr>
      <w:tr>
        <w:tc>
          <w:tcPr>
            <w:tcW w:w="4680" w:type="dxa"/>
          </w:tcPr>
          <w:p>
            <w:pPr/>
            <w:r>
              <w:t xml:space="preserve">Lagos (Mortgage and Property Law 2010)</w:t>
            </w:r>
          </w:p>
        </w:tc>
        <w:tc>
          <w:tcPr>
            <w:tcW w:w="4680" w:type="dxa"/>
          </w:tcPr>
          <w:p>
            <w:pPr/>
            <w:r>
              <w:t xml:space="preserve">Demise or sub-demise, or a charge by deed expressed to be by way of legal mortgage</w:t>
            </w:r>
          </w:p>
        </w:tc>
      </w:tr>
    </w:tbl>
    <w:p>
      <w:pPr>
        <w:pStyle w:val="ListParagraph"/>
        <w:numPr>
          <w:ilvl w:val="0"/>
          <w:numId w:val="7"/>
        </w:numPr>
      </w:pPr>
      <w:r>
        <w:rPr>
          <w:b/>
        </w:rPr>
        <w:t xml:space="preserve">Consent.</w:t>
      </w:r>
      <w:r>
        <w:t xml:space="preserve"> A legal mortgage needs Governor's Consent. Without it the mortgage is void.</w:t>
      </w:r>
    </w:p>
    <w:p>
      <w:pPr>
        <w:pStyle w:val="ListParagraph"/>
        <w:numPr>
          <w:ilvl w:val="0"/>
          <w:numId w:val="7"/>
        </w:numPr>
      </w:pPr>
      <w:r>
        <w:rPr>
          <w:b/>
        </w:rPr>
        <w:t xml:space="preserve">Company borrower.</w:t>
      </w:r>
      <w:r>
        <w:t xml:space="preserve"> The charge is registered at the Corporate Affairs Commission within 90 days.</w:t>
      </w:r>
    </w:p>
    <w:p>
      <w:pPr>
        <w:pStyle w:val="ListParagraph"/>
        <w:numPr>
          <w:ilvl w:val="0"/>
          <w:numId w:val="7"/>
        </w:numPr>
      </w:pPr>
      <w:r>
        <w:rPr>
          <w:b/>
        </w:rPr>
        <w:t xml:space="preserve">Stamp and register.</w:t>
      </w:r>
      <w:r>
        <w:t xml:space="preserve"> Duty is paid on the sum secured, and the deed is registered at the lands registry.</w:t>
      </w:r>
    </w:p>
    <w:p>
      <w:pPr>
        <w:pStyle w:val="ListParagraph"/>
        <w:numPr>
          <w:ilvl w:val="0"/>
          <w:numId w:val="7"/>
        </w:numPr>
      </w:pPr>
      <w:r>
        <w:rPr>
          <w:b/>
        </w:rPr>
        <w:t xml:space="preserve">Lagos.</w:t>
      </w:r>
      <w:r>
        <w:t xml:space="preserve"> Depositing title deeds alone does not create a mortgage. Priority goes by date of registration.</w:t>
      </w:r>
    </w:p>
    <w:p>
      <w:pPr>
        <w:pStyle w:val="ListParagraph"/>
        <w:numPr>
          <w:ilvl w:val="0"/>
          <w:numId w:val="7"/>
        </w:numPr>
      </w:pPr>
      <w:r>
        <w:rPr>
          <w:b/>
        </w:rPr>
        <w:t xml:space="preserve">Power of sale.</w:t>
      </w:r>
      <w:r>
        <w:t xml:space="preserve"> The lender can sell only after three months' default following a demand, or interest two months in arrears, or breach of another term.</w:t>
      </w:r>
    </w:p>
    <w:p>
      <w:pPr>
        <w:pStyle w:val="ListParagraph"/>
        <w:numPr>
          <w:ilvl w:val="0"/>
          <w:numId w:val="7"/>
        </w:numPr>
      </w:pPr>
      <w:r>
        <w:rPr>
          <w:b/>
        </w:rPr>
        <w:t xml:space="preserve">On repayment.</w:t>
      </w:r>
      <w:r>
        <w:t xml:space="preserve"> A deed of release is prepared and registered.</w:t>
      </w:r>
    </w:p>
    <w:p>
      <w:pPr/>
      <w:r>
        <w:rPr>
          <w:b/>
        </w:rPr>
        <w:t xml:space="preserve">Power of Attorney.</w:t>
      </w:r>
    </w:p>
    <w:p>
      <w:pPr>
        <w:pStyle w:val="ListParagraph"/>
        <w:numPr>
          <w:ilvl w:val="0"/>
          <w:numId w:val="8"/>
        </w:numPr>
      </w:pPr>
      <w:r>
        <w:t xml:space="preserve">It gives authority to act. It does not transfer the land (Ude v Nwara). The agent never offers it in place of a Deed of Assignment.</w:t>
      </w:r>
    </w:p>
    <w:p>
      <w:pPr>
        <w:pStyle w:val="ListParagraph"/>
        <w:numPr>
          <w:ilvl w:val="0"/>
          <w:numId w:val="8"/>
        </w:numPr>
      </w:pPr>
      <w:r>
        <w:t xml:space="preserve">If the attorney will sign a deed, the power must itself be a deed.</w:t>
      </w:r>
    </w:p>
    <w:p>
      <w:pPr>
        <w:pStyle w:val="ListParagraph"/>
        <w:numPr>
          <w:ilvl w:val="0"/>
          <w:numId w:val="8"/>
        </w:numPr>
      </w:pPr>
      <w:r>
        <w:t xml:space="preserve">It is revocable unless the law makes it irrevocable. It ends on revocation, or on the donor's death, insanity or bankruptcy.</w:t>
      </w:r>
    </w:p>
    <w:p>
      <w:pPr>
        <w:pStyle w:val="ListParagraph"/>
        <w:numPr>
          <w:ilvl w:val="0"/>
          <w:numId w:val="8"/>
        </w:numPr>
      </w:pPr>
      <w:r>
        <w:t xml:space="preserve">It is irrevocable in two cases: where it is given for valuable consideration and says it is irrevocable; or where it says it is irrevocable for a fixed period of not more than one year.</w:t>
      </w:r>
    </w:p>
    <w:p>
      <w:pPr>
        <w:pStyle w:val="ListParagraph"/>
        <w:numPr>
          <w:ilvl w:val="0"/>
          <w:numId w:val="8"/>
        </w:numPr>
      </w:pPr>
      <w:r>
        <w:t xml:space="preserve">Writing "irrevocable" on it is not enough without one of those two.</w:t>
      </w:r>
    </w:p>
    <w:p>
      <w:pPr>
        <w:pStyle w:val="ListParagraph"/>
        <w:numPr>
          <w:ilvl w:val="0"/>
          <w:numId w:val="8"/>
        </w:numPr>
      </w:pPr>
      <w:r>
        <w:t xml:space="preserve">A power over land is stamped and registered. One signed abroad is signed before a notary public.</w:t>
      </w:r>
    </w:p>
    <w:p>
      <w:pPr/>
      <w:r>
        <w:rPr>
          <w:b/>
        </w:rPr>
        <w:t xml:space="preserve">Agreement for Sale of Land.</w:t>
      </w:r>
    </w:p>
    <w:p>
      <w:pPr>
        <w:pStyle w:val="ListParagraph"/>
        <w:numPr>
          <w:ilvl w:val="0"/>
          <w:numId w:val="9"/>
        </w:numPr>
      </w:pPr>
      <w:r>
        <w:t xml:space="preserve">It is the contract signed before completion. It must be in writing, signed, and name the parties, the property and the price.</w:t>
      </w:r>
    </w:p>
    <w:p>
      <w:pPr>
        <w:pStyle w:val="ListParagraph"/>
        <w:numPr>
          <w:ilvl w:val="0"/>
          <w:numId w:val="9"/>
        </w:numPr>
      </w:pPr>
      <w:r>
        <w:t xml:space="preserve">Governor's Consent is not needed at this stage. Consent is sought on the Deed of Assignment.</w:t>
      </w:r>
    </w:p>
    <w:p>
      <w:pPr>
        <w:pStyle w:val="ListParagraph"/>
        <w:numPr>
          <w:ilvl w:val="0"/>
          <w:numId w:val="9"/>
        </w:numPr>
      </w:pPr>
      <w:r>
        <w:t xml:space="preserve">The buyer gets an equitable interest on paying. Legal title comes with the deed and consent.</w:t>
      </w:r>
    </w:p>
    <w:p>
      <w:pPr>
        <w:pStyle w:val="ListParagraph"/>
        <w:numPr>
          <w:ilvl w:val="0"/>
          <w:numId w:val="9"/>
        </w:numPr>
      </w:pPr>
      <w:r>
        <w:t xml:space="preserve">Usual terms: deposit, balance and completion date, documents to be handed over, vacant possession, who pays for consent, and what happens on default.</w:t>
      </w:r>
    </w:p>
    <w:p>
      <w:pPr>
        <w:pStyle w:val="ListParagraph"/>
        <w:numPr>
          <w:ilvl w:val="0"/>
          <w:numId w:val="9"/>
        </w:numPr>
      </w:pPr>
      <w:r>
        <w:t xml:space="preserve">The agent recommends a search before the client signs or pays.</w:t>
      </w:r>
    </w:p>
    <w:p>
      <w:pPr/>
      <w:r>
        <w:rPr>
          <w:b/>
        </w:rPr>
        <w:t xml:space="preserve">Fee.</w:t>
      </w:r>
      <w:r>
        <w:t xml:space="preserve"> ₦30,000 flat each.</w:t>
      </w:r>
    </w:p>
    <w:p>
      <w:pPr>
        <w:pStyle w:val="Heading2"/>
      </w:pPr>
      <w:r>
        <w:t xml:space="preserve">5. Property searches and due diligence</w:t>
      </w:r>
    </w:p>
    <w:p>
      <w:pPr/>
      <w:r>
        <w:rPr>
          <w:b/>
        </w:rPr>
        <w:t xml:space="preserve">What the agent does.</w:t>
      </w:r>
      <w:r>
        <w:t xml:space="preserve"> It takes the instruction and the documents. A member of the firm goes to the registry and writes the report.</w:t>
      </w:r>
    </w:p>
    <w:p>
      <w:pPr/>
      <w:r>
        <w:rPr>
          <w:b/>
        </w:rPr>
        <w:t xml:space="preserve">Applicable law.</w:t>
      </w:r>
      <w:r>
        <w:t xml:space="preserve"> Land Use Act 1978; the land registration law of the state (Land Registration Law 2015 in Lagos); Companies and Allied Matters Act 2020 for company searches.</w:t>
      </w:r>
    </w:p>
    <w:p>
      <w:pPr/>
      <w:r>
        <w:rPr>
          <w:b/>
        </w:rPr>
        <w:t xml:space="preserve">Standard search.</w:t>
      </w:r>
      <w:r>
        <w:t xml:space="preserve"> A lands registry search of the title. It shows the registered holder, any mortgage, caution or court order on the register, and whether earlier transfers had Governor's Consent.</w:t>
      </w:r>
    </w:p>
    <w:p>
      <w:pPr/>
      <w:r>
        <w:rPr>
          <w:b/>
        </w:rPr>
        <w:t xml:space="preserve">Comprehensive due diligence.</w:t>
      </w:r>
      <w:r>
        <w:t xml:space="preserve"> The standard search, plus whichever of these the property needs:</w:t>
      </w:r>
    </w:p>
    <w:p>
      <w:pPr>
        <w:pStyle w:val="ListParagraph"/>
        <w:numPr>
          <w:ilvl w:val="0"/>
          <w:numId w:val="10"/>
        </w:numPr>
      </w:pPr>
      <w:r>
        <w:t xml:space="preserve">Survey charting at the Surveyor-General's office, to check for government acquisition</w:t>
      </w:r>
    </w:p>
    <w:p>
      <w:pPr>
        <w:pStyle w:val="ListParagraph"/>
        <w:numPr>
          <w:ilvl w:val="0"/>
          <w:numId w:val="10"/>
        </w:numPr>
      </w:pPr>
      <w:r>
        <w:t xml:space="preserve">Corporate Affairs Commission search, where a company is selling or borrowing</w:t>
      </w:r>
    </w:p>
    <w:p>
      <w:pPr>
        <w:pStyle w:val="ListParagraph"/>
        <w:numPr>
          <w:ilvl w:val="0"/>
          <w:numId w:val="10"/>
        </w:numPr>
      </w:pPr>
      <w:r>
        <w:t xml:space="preserve">Probate registry search, where the title comes through a will or letters of administration</w:t>
      </w:r>
    </w:p>
    <w:p>
      <w:pPr>
        <w:pStyle w:val="ListParagraph"/>
        <w:numPr>
          <w:ilvl w:val="0"/>
          <w:numId w:val="10"/>
        </w:numPr>
      </w:pPr>
      <w:r>
        <w:t xml:space="preserve">Court check for any pending case over the land</w:t>
      </w:r>
    </w:p>
    <w:p>
      <w:pPr>
        <w:pStyle w:val="ListParagraph"/>
        <w:numPr>
          <w:ilvl w:val="0"/>
          <w:numId w:val="10"/>
        </w:numPr>
      </w:pPr>
      <w:r>
        <w:t xml:space="preserve">Site visit, to see who is in occupation and whether the boundaries match the survey</w:t>
      </w:r>
    </w:p>
    <w:p>
      <w:pPr>
        <w:pStyle w:val="ListParagraph"/>
        <w:numPr>
          <w:ilvl w:val="0"/>
          <w:numId w:val="10"/>
        </w:numPr>
      </w:pPr>
      <w:r>
        <w:t xml:space="preserve">Family enquiries, for family land</w:t>
      </w:r>
    </w:p>
    <w:p>
      <w:pPr>
        <w:pStyle w:val="ListParagraph"/>
        <w:numPr>
          <w:ilvl w:val="0"/>
          <w:numId w:val="10"/>
        </w:numPr>
      </w:pPr>
      <w:r>
        <w:t xml:space="preserve">Planning approval and arrears of Land Use Charge or ground rent</w:t>
      </w:r>
    </w:p>
    <w:p>
      <w:pPr/>
      <w:r>
        <w:rPr>
          <w:b/>
        </w:rPr>
        <w:t xml:space="preserve">Main rules.</w:t>
      </w:r>
    </w:p>
    <w:p>
      <w:pPr>
        <w:pStyle w:val="ListParagraph"/>
        <w:numPr>
          <w:ilvl w:val="0"/>
          <w:numId w:val="11"/>
        </w:numPr>
      </w:pPr>
      <w:r>
        <w:t xml:space="preserve">A search shows the register on the day it is done. It is not a guarantee of title.</w:t>
      </w:r>
    </w:p>
    <w:p>
      <w:pPr>
        <w:pStyle w:val="ListParagraph"/>
        <w:numPr>
          <w:ilvl w:val="0"/>
          <w:numId w:val="11"/>
        </w:numPr>
      </w:pPr>
      <w:r>
        <w:t xml:space="preserve">The search is done before any money is paid to the seller.</w:t>
      </w:r>
    </w:p>
    <w:p>
      <w:pPr>
        <w:pStyle w:val="ListParagraph"/>
        <w:numPr>
          <w:ilvl w:val="0"/>
          <w:numId w:val="11"/>
        </w:numPr>
      </w:pPr>
      <w:r>
        <w:t xml:space="preserve">The agent collects the address, a copy of the title document, the survey plan and the seller's name.</w:t>
      </w:r>
    </w:p>
    <w:p>
      <w:pPr/>
      <w:r>
        <w:rPr>
          <w:b/>
        </w:rPr>
        <w:t xml:space="preserve">Fee.</w:t>
      </w:r>
      <w:r>
        <w:t xml:space="preserve"> Standard search, ₦50,000. Comprehensive due diligence, from ₦100,000 depending on location and scope.</w:t>
      </w:r>
    </w:p>
    <w:p>
      <w:pPr>
        <w:pStyle w:val="Heading2"/>
      </w:pPr>
      <w:r>
        <w:t xml:space="preserve">6. Wills and probate</w:t>
      </w:r>
    </w:p>
    <w:p>
      <w:pPr/>
      <w:r>
        <w:rPr>
          <w:b/>
        </w:rPr>
        <w:t xml:space="preserve">What the agent does.</w:t>
      </w:r>
      <w:r>
        <w:t xml:space="preserve"> It takes instructions for wills and codicils and prepares the draft. For an estate, it explains which grant is needed, lists the documents and prepares the application papers.</w:t>
      </w:r>
    </w:p>
    <w:p>
      <w:pPr/>
      <w:r>
        <w:rPr>
          <w:b/>
        </w:rPr>
        <w:t xml:space="preserve">Applicable law.</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Where</w:t>
            </w:r>
          </w:p>
        </w:tc>
        <w:tc>
          <w:tcPr>
            <w:tcW w:w="3120" w:type="dxa"/>
            <w:shd w:val="clear" w:color="auto" w:fill="F2F2F2"/>
          </w:tcPr>
          <w:p>
            <w:pPr/>
            <w:r>
              <w:t xml:space="preserve">Wills</w:t>
            </w:r>
          </w:p>
        </w:tc>
        <w:tc>
          <w:tcPr>
            <w:tcW w:w="3120" w:type="dxa"/>
            <w:shd w:val="clear" w:color="auto" w:fill="F2F2F2"/>
          </w:tcPr>
          <w:p>
            <w:pPr/>
            <w:r>
              <w:t xml:space="preserve">Estates and probate</w:t>
            </w:r>
          </w:p>
        </w:tc>
      </w:tr>
      <w:tr>
        <w:tc>
          <w:tcPr>
            <w:tcW w:w="3120" w:type="dxa"/>
          </w:tcPr>
          <w:p>
            <w:pPr/>
            <w:r>
              <w:t xml:space="preserve">Lagos</w:t>
            </w:r>
          </w:p>
        </w:tc>
        <w:tc>
          <w:tcPr>
            <w:tcW w:w="3120" w:type="dxa"/>
          </w:tcPr>
          <w:p>
            <w:pPr/>
            <w:r>
              <w:t xml:space="preserve">Wills Law of Lagos State</w:t>
            </w:r>
          </w:p>
        </w:tc>
        <w:tc>
          <w:tcPr>
            <w:tcW w:w="3120" w:type="dxa"/>
          </w:tcPr>
          <w:p>
            <w:pPr/>
            <w:r>
              <w:t xml:space="preserve">Administration of Estates Law; High Court of Lagos State (Civil Procedure) Rules</w:t>
            </w:r>
          </w:p>
        </w:tc>
      </w:tr>
      <w:tr>
        <w:tc>
          <w:tcPr>
            <w:tcW w:w="3120" w:type="dxa"/>
          </w:tcPr>
          <w:p>
            <w:pPr/>
            <w:r>
              <w:t xml:space="preserve">Oyo, Ogun, Ondo, Osun, Ekiti, Edo, Delta</w:t>
            </w:r>
          </w:p>
        </w:tc>
        <w:tc>
          <w:tcPr>
            <w:tcW w:w="3120" w:type="dxa"/>
          </w:tcPr>
          <w:p>
            <w:pPr/>
            <w:r>
              <w:t xml:space="preserve">Wills Law 1958 as re-enacted in each state; Wills Edict 1990 in Oyo</w:t>
            </w:r>
          </w:p>
        </w:tc>
        <w:tc>
          <w:tcPr>
            <w:tcW w:w="3120" w:type="dxa"/>
          </w:tcPr>
          <w:p>
            <w:pPr/>
            <w:r>
              <w:t xml:space="preserve">Administration of Estates Law 1959 as re-enacted; the state's High Court Rules</w:t>
            </w:r>
          </w:p>
        </w:tc>
      </w:tr>
      <w:tr>
        <w:tc>
          <w:tcPr>
            <w:tcW w:w="3120" w:type="dxa"/>
          </w:tcPr>
          <w:p>
            <w:pPr/>
            <w:r>
              <w:t xml:space="preserve">FCT, northern and eastern states</w:t>
            </w:r>
          </w:p>
        </w:tc>
        <w:tc>
          <w:tcPr>
            <w:tcW w:w="3120" w:type="dxa"/>
          </w:tcPr>
          <w:p>
            <w:pPr/>
            <w:r>
              <w:t xml:space="preserve">Wills Act 1837 and Wills Amendment Act 1852, unless the state has its own Wills Law (Kaduna does)</w:t>
            </w:r>
          </w:p>
        </w:tc>
        <w:tc>
          <w:tcPr>
            <w:tcW w:w="3120" w:type="dxa"/>
          </w:tcPr>
          <w:p>
            <w:pPr/>
            <w:r>
              <w:t xml:space="preserve">The state's Administration of Estates Law where it has one; the High Court Rules</w:t>
            </w:r>
          </w:p>
        </w:tc>
      </w:tr>
    </w:tbl>
    <w:p>
      <w:pPr/>
      <w:r>
        <w:rPr>
          <w:b/>
        </w:rPr>
        <w:t xml:space="preserve">Main rules for a will.</w:t>
      </w:r>
    </w:p>
    <w:p>
      <w:pPr>
        <w:pStyle w:val="ListParagraph"/>
        <w:numPr>
          <w:ilvl w:val="0"/>
          <w:numId w:val="12"/>
        </w:numPr>
      </w:pPr>
      <w:r>
        <w:rPr>
          <w:b/>
        </w:rPr>
        <w:t xml:space="preserve">Form.</w:t>
      </w:r>
      <w:r>
        <w:t xml:space="preserve"> It is in writing and signed by the testator. Two witnesses are present together when the testator signs, and each then signs in the testator's presence.</w:t>
      </w:r>
    </w:p>
    <w:p>
      <w:pPr>
        <w:pStyle w:val="ListParagraph"/>
        <w:numPr>
          <w:ilvl w:val="0"/>
          <w:numId w:val="12"/>
        </w:numPr>
      </w:pPr>
      <w:r>
        <w:rPr>
          <w:b/>
        </w:rPr>
        <w:t xml:space="preserve">Witnesses.</w:t>
      </w:r>
      <w:r>
        <w:t xml:space="preserve"> A witness, or a witness's husband or wife, cannot receive a gift under the will. The gift fails; the will stands.</w:t>
      </w:r>
    </w:p>
    <w:p>
      <w:pPr>
        <w:pStyle w:val="ListParagraph"/>
        <w:numPr>
          <w:ilvl w:val="0"/>
          <w:numId w:val="12"/>
        </w:numPr>
      </w:pPr>
      <w:r>
        <w:rPr>
          <w:b/>
        </w:rPr>
        <w:t xml:space="preserve">Age.</w:t>
      </w:r>
      <w:r>
        <w:t xml:space="preserve"> 18 in Lagos. 21 under the Wills Act 1837. Other states follow their own Wills Law.</w:t>
      </w:r>
    </w:p>
    <w:p>
      <w:pPr>
        <w:pStyle w:val="ListParagraph"/>
        <w:numPr>
          <w:ilvl w:val="0"/>
          <w:numId w:val="12"/>
        </w:numPr>
      </w:pPr>
      <w:r>
        <w:rPr>
          <w:b/>
        </w:rPr>
        <w:t xml:space="preserve">Sound mind.</w:t>
      </w:r>
      <w:r>
        <w:t xml:space="preserve"> The testator must understand the will, the property and the people with a claim on it.</w:t>
      </w:r>
    </w:p>
    <w:p>
      <w:pPr>
        <w:pStyle w:val="ListParagraph"/>
        <w:numPr>
          <w:ilvl w:val="0"/>
          <w:numId w:val="12"/>
        </w:numPr>
      </w:pPr>
      <w:r>
        <w:rPr>
          <w:b/>
        </w:rPr>
        <w:t xml:space="preserve">Limits in Lagos.</w:t>
      </w:r>
      <w:r>
        <w:t xml:space="preserve"> A spouse or child left without reasonable provision can ask the court for it.</w:t>
      </w:r>
    </w:p>
    <w:p>
      <w:pPr>
        <w:pStyle w:val="ListParagraph"/>
        <w:numPr>
          <w:ilvl w:val="0"/>
          <w:numId w:val="12"/>
        </w:numPr>
      </w:pPr>
      <w:r>
        <w:rPr>
          <w:b/>
        </w:rPr>
        <w:t xml:space="preserve">Limits in the western states.</w:t>
      </w:r>
      <w:r>
        <w:t xml:space="preserve"> Property that customary law says cannot be given by will stays outside the will. The Benin rule on the eldest son's house is the best-known case (Idehen v Idehen).</w:t>
      </w:r>
    </w:p>
    <w:p>
      <w:pPr>
        <w:pStyle w:val="ListParagraph"/>
        <w:numPr>
          <w:ilvl w:val="0"/>
          <w:numId w:val="12"/>
        </w:numPr>
      </w:pPr>
      <w:r>
        <w:rPr>
          <w:b/>
        </w:rPr>
        <w:t xml:space="preserve">Limits in the north.</w:t>
      </w:r>
      <w:r>
        <w:t xml:space="preserve"> In states such as Kaduna, a Muslim's will is subject to Islamic law.</w:t>
      </w:r>
    </w:p>
    <w:p>
      <w:pPr>
        <w:pStyle w:val="ListParagraph"/>
        <w:numPr>
          <w:ilvl w:val="0"/>
          <w:numId w:val="12"/>
        </w:numPr>
      </w:pPr>
      <w:r>
        <w:rPr>
          <w:b/>
        </w:rPr>
        <w:t xml:space="preserve">Revocation.</w:t>
      </w:r>
      <w:r>
        <w:t xml:space="preserve"> A will is revoked by a later will or codicil, by deliberate destruction, or by a later marriage under the Marriage Act.</w:t>
      </w:r>
    </w:p>
    <w:p>
      <w:pPr/>
      <w:r>
        <w:rPr>
          <w:b/>
        </w:rPr>
        <w:t xml:space="preserve">Main rules for probate.</w:t>
      </w:r>
    </w:p>
    <w:p>
      <w:pPr>
        <w:pStyle w:val="ListParagraph"/>
        <w:numPr>
          <w:ilvl w:val="0"/>
          <w:numId w:val="13"/>
        </w:numPr>
      </w:pPr>
      <w:r>
        <w:rPr>
          <w:b/>
        </w:rPr>
        <w:t xml:space="preserve">Will with executors:</w:t>
      </w:r>
      <w:r>
        <w:t xml:space="preserve"> grant of probate.</w:t>
      </w:r>
    </w:p>
    <w:p>
      <w:pPr>
        <w:pStyle w:val="ListParagraph"/>
        <w:numPr>
          <w:ilvl w:val="0"/>
          <w:numId w:val="13"/>
        </w:numPr>
      </w:pPr>
      <w:r>
        <w:rPr>
          <w:b/>
        </w:rPr>
        <w:t xml:space="preserve">No will:</w:t>
      </w:r>
      <w:r>
        <w:t xml:space="preserve"> letters of administration, usually to the spouse and children, with sureties.</w:t>
      </w:r>
    </w:p>
    <w:p>
      <w:pPr>
        <w:pStyle w:val="ListParagraph"/>
        <w:numPr>
          <w:ilvl w:val="0"/>
          <w:numId w:val="13"/>
        </w:numPr>
      </w:pPr>
      <w:r>
        <w:rPr>
          <w:b/>
        </w:rPr>
        <w:t xml:space="preserve">Will but no executor able to act:</w:t>
      </w:r>
      <w:r>
        <w:t xml:space="preserve"> letters of administration with the will annexed.</w:t>
      </w:r>
    </w:p>
    <w:p>
      <w:pPr>
        <w:pStyle w:val="ListParagraph"/>
        <w:numPr>
          <w:ilvl w:val="0"/>
          <w:numId w:val="13"/>
        </w:numPr>
      </w:pPr>
      <w:r>
        <w:rPr>
          <w:b/>
        </w:rPr>
        <w:t xml:space="preserve">Where.</w:t>
      </w:r>
      <w:r>
        <w:t xml:space="preserve"> The Probate Registry of the High Court in the state where the deceased lived or left property.</w:t>
      </w:r>
    </w:p>
    <w:p>
      <w:pPr>
        <w:pStyle w:val="ListParagraph"/>
        <w:numPr>
          <w:ilvl w:val="0"/>
          <w:numId w:val="13"/>
        </w:numPr>
      </w:pPr>
      <w:r>
        <w:rPr>
          <w:b/>
        </w:rPr>
        <w:t xml:space="preserve">A grant from another state or country</w:t>
      </w:r>
      <w:r>
        <w:t xml:space="preserve"> is resealed before it is used.</w:t>
      </w:r>
    </w:p>
    <w:p>
      <w:pPr>
        <w:pStyle w:val="ListParagraph"/>
        <w:numPr>
          <w:ilvl w:val="0"/>
          <w:numId w:val="13"/>
        </w:numPr>
      </w:pPr>
      <w:r>
        <w:rPr>
          <w:b/>
        </w:rPr>
        <w:t xml:space="preserve">Who inherits without a will</w:t>
      </w:r>
      <w:r>
        <w:t xml:space="preserve"> depends on the marriage. For a Marriage Act marriage, the Administration of Estates Law sets the shares. Otherwise customary or Islamic law applies.</w:t>
      </w:r>
    </w:p>
    <w:p>
      <w:pPr>
        <w:pStyle w:val="ListParagraph"/>
        <w:numPr>
          <w:ilvl w:val="0"/>
          <w:numId w:val="13"/>
        </w:numPr>
      </w:pPr>
      <w:r>
        <w:rPr>
          <w:b/>
        </w:rPr>
        <w:t xml:space="preserve">Land in the estate</w:t>
      </w:r>
      <w:r>
        <w:t xml:space="preserve"> passes to a beneficiary by the executors' assent or deed, which is then registered.</w:t>
      </w:r>
    </w:p>
    <w:p>
      <w:pPr/>
      <w:r>
        <w:rPr>
          <w:b/>
        </w:rPr>
        <w:t xml:space="preserve">Fee.</w:t>
      </w:r>
      <w:r>
        <w:t xml:space="preserve"> To be set.</w:t>
      </w:r>
    </w:p>
    <w:p>
      <w:pPr>
        <w:pStyle w:val="Heading2"/>
      </w:pPr>
      <w:r>
        <w:t xml:space="preserve">7. Land title disputes</w:t>
      </w:r>
    </w:p>
    <w:p>
      <w:pPr/>
      <w:r>
        <w:rPr>
          <w:b/>
        </w:rPr>
        <w:t xml:space="preserve">What the agent does.</w:t>
      </w:r>
      <w:r>
        <w:t xml:space="preserve"> It takes the facts and documents, explains how title is proved and what the client can ask the court for, and prepares the brief. The firm's lawyers file and argue the case.</w:t>
      </w:r>
    </w:p>
    <w:p>
      <w:pPr/>
      <w:r>
        <w:rPr>
          <w:b/>
        </w:rPr>
        <w:t xml:space="preserve">Applicable law.</w:t>
      </w:r>
      <w:r>
        <w:t xml:space="preserve"> Land Use Act 1978 (sections 39 and 41 on which court); Evidence Act 2011; the state's Limitation Law (Limitation Act in the FCT); the state's High Court Rules; in Lagos, the Properties Protection Law 2016 against land grabbing; the land registration law of the state.</w:t>
      </w:r>
    </w:p>
    <w:p>
      <w:pPr/>
      <w:r>
        <w:rPr>
          <w:b/>
        </w:rPr>
        <w:t xml:space="preserve">Matters covered.</w:t>
      </w:r>
      <w:r>
        <w:t xml:space="preserve"> Disputed ownership, declaration of title, trespass, injunction, double sales, boundary disputes and recovery of possession from a rival claimant.</w:t>
      </w:r>
    </w:p>
    <w:p>
      <w:pPr/>
      <w:r>
        <w:rPr>
          <w:b/>
        </w:rPr>
        <w:t xml:space="preserve">Main rules.</w:t>
      </w:r>
    </w:p>
    <w:p>
      <w:pPr>
        <w:pStyle w:val="ListParagraph"/>
        <w:numPr>
          <w:ilvl w:val="0"/>
          <w:numId w:val="14"/>
        </w:numPr>
      </w:pPr>
      <w:r>
        <w:rPr>
          <w:b/>
        </w:rPr>
        <w:t xml:space="preserve">Five ways to prove title</w:t>
      </w:r>
      <w:r>
        <w:t xml:space="preserve"> (Idundun v Okumagba): traditional history; title documents; acts of ownership over a long time; long possession; and possession of adjoining land that makes ownership of this land likely.</w:t>
      </w:r>
    </w:p>
    <w:p>
      <w:pPr>
        <w:pStyle w:val="ListParagraph"/>
        <w:numPr>
          <w:ilvl w:val="0"/>
          <w:numId w:val="14"/>
        </w:numPr>
      </w:pPr>
      <w:r>
        <w:rPr>
          <w:b/>
        </w:rPr>
        <w:t xml:space="preserve">Own strength.</w:t>
      </w:r>
      <w:r>
        <w:t xml:space="preserve"> The person claiming title wins on the strength of their own case, not on the weakness of the other side's (Kodilinye v Odu).</w:t>
      </w:r>
    </w:p>
    <w:p>
      <w:pPr>
        <w:pStyle w:val="ListParagraph"/>
        <w:numPr>
          <w:ilvl w:val="0"/>
          <w:numId w:val="14"/>
        </w:numPr>
      </w:pPr>
      <w:r>
        <w:rPr>
          <w:b/>
        </w:rPr>
        <w:t xml:space="preserve">Which court.</w:t>
      </w:r>
      <w:r>
        <w:t xml:space="preserve"> The State High Court. Customary and area courts also hear cases over land held under a customary right of occupancy. The Federal High Court does not hear land cases.</w:t>
      </w:r>
    </w:p>
    <w:p>
      <w:pPr>
        <w:pStyle w:val="ListParagraph"/>
        <w:numPr>
          <w:ilvl w:val="0"/>
          <w:numId w:val="14"/>
        </w:numPr>
      </w:pPr>
      <w:r>
        <w:rPr>
          <w:b/>
        </w:rPr>
        <w:t xml:space="preserve">Time limit.</w:t>
      </w:r>
      <w:r>
        <w:t xml:space="preserve"> Generally 12 years to recover land from a private person. The state's Limitation Law decides.</w:t>
      </w:r>
    </w:p>
    <w:p>
      <w:pPr>
        <w:pStyle w:val="ListParagraph"/>
        <w:numPr>
          <w:ilvl w:val="0"/>
          <w:numId w:val="14"/>
        </w:numPr>
      </w:pPr>
      <w:r>
        <w:rPr>
          <w:b/>
        </w:rPr>
        <w:t xml:space="preserve">Trespass.</w:t>
      </w:r>
      <w:r>
        <w:t xml:space="preserve"> It protects possession. A person in possession can sue anyone who enters, except the true owner.</w:t>
      </w:r>
    </w:p>
    <w:p>
      <w:pPr>
        <w:pStyle w:val="ListParagraph"/>
        <w:numPr>
          <w:ilvl w:val="0"/>
          <w:numId w:val="14"/>
        </w:numPr>
      </w:pPr>
      <w:r>
        <w:rPr>
          <w:b/>
        </w:rPr>
        <w:t xml:space="preserve">Double sales.</w:t>
      </w:r>
      <w:r>
        <w:t xml:space="preserve"> The earlier buyer is generally stronger. A registered deed has priority. A buyer with only a receipt and possession holds an equitable interest.</w:t>
      </w:r>
    </w:p>
    <w:p>
      <w:pPr>
        <w:pStyle w:val="ListParagraph"/>
        <w:numPr>
          <w:ilvl w:val="0"/>
          <w:numId w:val="14"/>
        </w:numPr>
      </w:pPr>
      <w:r>
        <w:rPr>
          <w:b/>
        </w:rPr>
        <w:t xml:space="preserve">Land under litigation.</w:t>
      </w:r>
      <w:r>
        <w:t xml:space="preserve"> A sale of land that is already in court does not defeat the outcome of the case.</w:t>
      </w:r>
    </w:p>
    <w:p>
      <w:pPr>
        <w:pStyle w:val="ListParagraph"/>
        <w:numPr>
          <w:ilvl w:val="0"/>
          <w:numId w:val="14"/>
        </w:numPr>
      </w:pPr>
      <w:r>
        <w:rPr>
          <w:b/>
        </w:rPr>
        <w:t xml:space="preserve">What the court can order.</w:t>
      </w:r>
      <w:r>
        <w:t xml:space="preserve"> A declaration of title, damages for trespass, an injunction and possession.</w:t>
      </w:r>
    </w:p>
    <w:p>
      <w:pPr/>
      <w:r>
        <w:rPr>
          <w:b/>
        </w:rPr>
        <w:t xml:space="preserve">Fee.</w:t>
      </w:r>
      <w:r>
        <w:t xml:space="preserve"> To be set.</w:t>
      </w:r>
    </w:p>
    <w:p>
      <w:pPr>
        <w:pStyle w:val="Heading2"/>
      </w:pPr>
      <w:r>
        <w:t xml:space="preserve">How the agent works</w:t>
      </w:r>
    </w:p>
    <w:p>
      <w:pPr>
        <w:pStyle w:val="ListParagraph"/>
        <w:numPr>
          <w:ilvl w:val="0"/>
          <w:numId w:val="15"/>
        </w:numPr>
      </w:pPr>
      <w:r>
        <w:t xml:space="preserve">It asks which state the property is in first, because the state decides the law.</w:t>
      </w:r>
    </w:p>
    <w:p>
      <w:pPr>
        <w:pStyle w:val="ListParagraph"/>
        <w:numPr>
          <w:ilvl w:val="0"/>
          <w:numId w:val="15"/>
        </w:numPr>
      </w:pPr>
      <w:r>
        <w:t xml:space="preserve">It gathers the facts and documents, explains the process and prepares the draft.</w:t>
      </w:r>
    </w:p>
    <w:p>
      <w:pPr>
        <w:pStyle w:val="ListParagraph"/>
        <w:numPr>
          <w:ilvl w:val="0"/>
          <w:numId w:val="15"/>
        </w:numPr>
      </w:pPr>
      <w:r>
        <w:t xml:space="preserve">A lawyer in the firm signs every document and handles registry visits, filings and court.</w:t>
      </w:r>
    </w:p>
    <w:p>
      <w:pPr>
        <w:pStyle w:val="Heading2"/>
      </w:pPr>
      <w:r>
        <w:t xml:space="preserve">Not covered</w:t>
      </w:r>
    </w:p>
    <w:p>
      <w:pPr>
        <w:pStyle w:val="ListParagraph"/>
        <w:numPr>
          <w:ilvl w:val="0"/>
          <w:numId w:val="16"/>
        </w:numPr>
      </w:pPr>
      <w:r>
        <w:t xml:space="preserve">Squatters</w:t>
      </w:r>
    </w:p>
    <w:p>
      <w:pPr>
        <w:pStyle w:val="ListParagraph"/>
        <w:numPr>
          <w:ilvl w:val="0"/>
          <w:numId w:val="16"/>
        </w:numPr>
      </w:pPr>
      <w:r>
        <w:t xml:space="preserve">A client who wants to skip Governor's Consent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Property Law Agent Scope</dc:title>
  <dc:description>Claude Docs node/c9edb1d4-5cab@15 docx-w6</dc:description>
  <cp:revision>15</cp:revision>
</cp:coreProperties>
</file>