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Drug Discovery Compound Activity Analysis</w:t>
      </w:r>
    </w:p>
    <w:p>
      <w:r>
        <w:br/>
        <w:t>Drug discovery relies heavily on analyzing chemical compounds and their interactions with biological targets. Key molecular properties, such as binding affinity, hydrophobicity, and molecular weight, help researchers identify promising drug candidates. This report summarizes important findings from a sample dataset of compounds, highlighting differences between active and inactive molecules and exploring property relationships relevant to drug design.</w:t>
        <w:br/>
        <w:br/>
      </w:r>
      <w:r>
        <w:t>The dataset was downloaded from - https://www.kaggle.com/datasets/shahriarkabir/drug-discovery-virtual-screening-dataset</w:t>
        <w:br/>
      </w:r>
    </w:p>
    <w:tbl>
      <w:tblPr>
        <w:tblW w:type="auto" w:w="0"/>
        <w:tblLook w:firstColumn="1" w:firstRow="1" w:lastColumn="0" w:lastRow="0" w:noHBand="0" w:noVBand="1" w:val="04A0"/>
      </w:tblPr>
      <w:tblGrid>
        <w:gridCol w:w="1728"/>
        <w:gridCol w:w="1728"/>
        <w:gridCol w:w="1728"/>
        <w:gridCol w:w="1728"/>
        <w:gridCol w:w="1728"/>
      </w:tblGrid>
      <w:tr>
        <w:tc>
          <w:tcPr>
            <w:tcW w:type="dxa" w:w="1728"/>
          </w:tcPr>
          <w:p>
            <w:r>
              <w:rPr>
                <w:b/>
              </w:rPr>
              <w:t>Compound Activity</w:t>
            </w:r>
          </w:p>
        </w:tc>
        <w:tc>
          <w:tcPr>
            <w:tcW w:type="dxa" w:w="1728"/>
          </w:tcPr>
          <w:p>
            <w:r>
              <w:rPr>
                <w:b/>
              </w:rPr>
              <w:t>Avg. Binding Affinity</w:t>
            </w:r>
          </w:p>
        </w:tc>
        <w:tc>
          <w:tcPr>
            <w:tcW w:type="dxa" w:w="1728"/>
          </w:tcPr>
          <w:p>
            <w:r>
              <w:rPr>
                <w:b/>
              </w:rPr>
              <w:t>Avg. Molecular Weight (g/mol)</w:t>
            </w:r>
          </w:p>
        </w:tc>
        <w:tc>
          <w:tcPr>
            <w:tcW w:type="dxa" w:w="1728"/>
          </w:tcPr>
          <w:p>
            <w:r>
              <w:rPr>
                <w:b/>
              </w:rPr>
              <w:t>Avg. Hydrophobicity</w:t>
            </w:r>
          </w:p>
        </w:tc>
        <w:tc>
          <w:tcPr>
            <w:tcW w:type="dxa" w:w="1728"/>
          </w:tcPr>
          <w:p>
            <w:r>
              <w:rPr>
                <w:b/>
              </w:rPr>
              <w:t>Avg. Rotatable Bonds</w:t>
            </w:r>
          </w:p>
        </w:tc>
      </w:tr>
      <w:tr>
        <w:tc>
          <w:tcPr>
            <w:tcW w:type="dxa" w:w="1728"/>
          </w:tcPr>
          <w:p>
            <w:r>
              <w:t>Active</w:t>
            </w:r>
          </w:p>
        </w:tc>
        <w:tc>
          <w:tcPr>
            <w:tcW w:type="dxa" w:w="1728"/>
          </w:tcPr>
          <w:p>
            <w:r>
              <w:t>7.83</w:t>
            </w:r>
          </w:p>
        </w:tc>
        <w:tc>
          <w:tcPr>
            <w:tcW w:type="dxa" w:w="1728"/>
          </w:tcPr>
          <w:p>
            <w:r>
              <w:t>449.7</w:t>
            </w:r>
          </w:p>
        </w:tc>
        <w:tc>
          <w:tcPr>
            <w:tcW w:type="dxa" w:w="1728"/>
          </w:tcPr>
          <w:p>
            <w:r>
              <w:t>0.65</w:t>
            </w:r>
          </w:p>
        </w:tc>
        <w:tc>
          <w:tcPr>
            <w:tcW w:type="dxa" w:w="1728"/>
          </w:tcPr>
          <w:p>
            <w:r>
              <w:t>5.97</w:t>
            </w:r>
          </w:p>
        </w:tc>
      </w:tr>
      <w:tr>
        <w:tc>
          <w:tcPr>
            <w:tcW w:type="dxa" w:w="1728"/>
          </w:tcPr>
          <w:p>
            <w:r>
              <w:t>Inactive</w:t>
            </w:r>
          </w:p>
        </w:tc>
        <w:tc>
          <w:tcPr>
            <w:tcW w:type="dxa" w:w="1728"/>
          </w:tcPr>
          <w:p>
            <w:r>
              <w:t>5.97</w:t>
            </w:r>
          </w:p>
        </w:tc>
        <w:tc>
          <w:tcPr>
            <w:tcW w:type="dxa" w:w="1728"/>
          </w:tcPr>
          <w:p>
            <w:r>
              <w:t>459.2</w:t>
            </w:r>
          </w:p>
        </w:tc>
        <w:tc>
          <w:tcPr>
            <w:tcW w:type="dxa" w:w="1728"/>
          </w:tcPr>
          <w:p>
            <w:r>
              <w:t>0.64</w:t>
            </w:r>
          </w:p>
        </w:tc>
        <w:tc>
          <w:tcPr>
            <w:tcW w:type="dxa" w:w="1728"/>
          </w:tcPr>
          <w:p>
            <w:r>
              <w:t>5.96</w:t>
            </w:r>
          </w:p>
        </w:tc>
      </w:tr>
    </w:tbl>
    <w:p>
      <w:r>
        <w:t>Table 1: Summary of Compound Properties</w:t>
      </w:r>
    </w:p>
    <w:p>
      <w:r>
        <w:drawing>
          <wp:inline xmlns:a="http://schemas.openxmlformats.org/drawingml/2006/main" xmlns:pic="http://schemas.openxmlformats.org/drawingml/2006/picture">
            <wp:extent cx="4937760" cy="3703320"/>
            <wp:docPr id="1" name="Picture 1"/>
            <wp:cNvGraphicFramePr>
              <a:graphicFrameLocks noChangeAspect="1"/>
            </wp:cNvGraphicFramePr>
            <a:graphic>
              <a:graphicData uri="http://schemas.openxmlformats.org/drawingml/2006/picture">
                <pic:pic>
                  <pic:nvPicPr>
                    <pic:cNvPr id="0" name="binding_and_weight.png"/>
                    <pic:cNvPicPr/>
                  </pic:nvPicPr>
                  <pic:blipFill>
                    <a:blip r:embed="rId9"/>
                    <a:stretch>
                      <a:fillRect/>
                    </a:stretch>
                  </pic:blipFill>
                  <pic:spPr>
                    <a:xfrm>
                      <a:off x="0" y="0"/>
                      <a:ext cx="4937760" cy="37033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