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</w:pPr>
      <w:r>
        <w:rPr>
          <w:rFonts w:ascii="黑体-简" w:hAnsi="黑体-简"/>
          <w:b/>
          <w:color w:val="2F6BFF"/>
          <w:sz w:val="26"/>
        </w:rPr>
        <w:t>CHEER TRADE</w:t>
      </w:r>
    </w:p>
    <w:p>
      <w:pPr>
        <w:pStyle w:val="Title"/>
        <w:spacing w:before="240"/>
      </w:pPr>
      <w:r>
        <w:t>数据统计—BI 系统</w:t>
      </w:r>
    </w:p>
    <w:p>
      <w:pPr>
        <w:spacing w:after="480"/>
      </w:pPr>
      <w:r>
        <w:rPr>
          <w:color w:val="667085"/>
          <w:sz w:val="34"/>
        </w:rPr>
        <w:t>产品需求文档（PRD）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c>
          <w:tcPr>
            <w:tcW w:type="dxa" w:w="1944"/>
            <w:shd w:fill="F2F6FC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TableText"/>
            </w:pPr>
            <w:r>
              <w:rPr>
                <w:b/>
                <w:sz w:val="20"/>
              </w:rPr>
              <w:t>文档版本</w:t>
            </w:r>
          </w:p>
        </w:tc>
        <w:tc>
          <w:tcPr>
            <w:tcW w:type="dxa" w:w="8136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TableText"/>
            </w:pPr>
            <w:r>
              <w:rPr>
                <w:b w:val="0"/>
                <w:sz w:val="20"/>
              </w:rPr>
              <w:t>V1.3.9</w:t>
            </w:r>
          </w:p>
        </w:tc>
      </w:tr>
      <w:tr>
        <w:tc>
          <w:tcPr>
            <w:tcW w:type="dxa" w:w="1944"/>
            <w:shd w:fill="F2F6FC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TableText"/>
            </w:pPr>
            <w:r>
              <w:rPr>
                <w:b/>
                <w:sz w:val="20"/>
              </w:rPr>
              <w:t>文档状态</w:t>
            </w:r>
          </w:p>
        </w:tc>
        <w:tc>
          <w:tcPr>
            <w:tcW w:type="dxa" w:w="8136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TableText"/>
            </w:pPr>
            <w:r>
              <w:rPr>
                <w:b w:val="0"/>
                <w:sz w:val="20"/>
              </w:rPr>
              <w:t>首期需求 / 待评审</w:t>
            </w:r>
          </w:p>
        </w:tc>
      </w:tr>
      <w:tr>
        <w:tc>
          <w:tcPr>
            <w:tcW w:type="dxa" w:w="1944"/>
            <w:shd w:fill="F2F6FC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TableText"/>
            </w:pPr>
            <w:r>
              <w:rPr>
                <w:b/>
                <w:sz w:val="20"/>
              </w:rPr>
              <w:t>编写人</w:t>
            </w:r>
          </w:p>
        </w:tc>
        <w:tc>
          <w:tcPr>
            <w:tcW w:type="dxa" w:w="8136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TableText"/>
            </w:pPr>
            <w:r>
              <w:rPr>
                <w:b w:val="0"/>
                <w:sz w:val="20"/>
              </w:rPr>
              <w:t>张玲</w:t>
            </w:r>
          </w:p>
        </w:tc>
      </w:tr>
      <w:tr>
        <w:tc>
          <w:tcPr>
            <w:tcW w:type="dxa" w:w="1944"/>
            <w:shd w:fill="F2F6FC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TableText"/>
            </w:pPr>
            <w:r>
              <w:rPr>
                <w:b/>
                <w:sz w:val="20"/>
              </w:rPr>
              <w:t>编写日期</w:t>
            </w:r>
          </w:p>
        </w:tc>
        <w:tc>
          <w:tcPr>
            <w:tcW w:type="dxa" w:w="8136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TableText"/>
            </w:pPr>
            <w:r>
              <w:rPr>
                <w:b w:val="0"/>
                <w:sz w:val="20"/>
              </w:rPr>
              <w:t>2026.07.31</w:t>
            </w:r>
          </w:p>
        </w:tc>
      </w:tr>
      <w:tr>
        <w:tc>
          <w:tcPr>
            <w:tcW w:type="dxa" w:w="1944"/>
            <w:shd w:fill="F2F6FC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TableText"/>
            </w:pPr>
            <w:r>
              <w:rPr>
                <w:b/>
                <w:sz w:val="20"/>
              </w:rPr>
              <w:t>适用产品</w:t>
            </w:r>
          </w:p>
        </w:tc>
        <w:tc>
          <w:tcPr>
            <w:tcW w:type="dxa" w:w="8136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TableText"/>
            </w:pPr>
            <w:r>
              <w:rPr>
                <w:b w:val="0"/>
                <w:sz w:val="20"/>
              </w:rPr>
              <w:t>Cheer Trade</w:t>
            </w:r>
          </w:p>
        </w:tc>
      </w:tr>
    </w:tbl>
    <w:p>
      <w:pPr>
        <w:spacing w:after="320"/>
      </w:pP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2F6BFF"/>
              </w:rPr>
              <w:t>文档目的</w:t>
            </w:r>
          </w:p>
          <w:p>
            <w:pPr>
              <w:spacing w:after="0"/>
            </w:pPr>
            <w:r>
              <w:t>定义 Cheer Trade BI 系统首期数据口径、页面结构、筛选维度、刷新机制与验收标准，作为产品、数据、研发、测试及业务部门的共同实施依据。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修订历史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152"/>
        <w:gridCol w:w="5112"/>
        <w:gridCol w:w="1152"/>
        <w:gridCol w:w="2015"/>
      </w:tblGrid>
      <w:tr>
        <w:trPr>
          <w:tblHeader w:val="true"/>
        </w:trPr>
        <w:tc>
          <w:tcPr>
            <w:tcW w:type="dxa" w:w="64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152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5112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8"/>
              </w:rPr>
              <w:t>编写/修订说明</w:t>
            </w:r>
          </w:p>
        </w:tc>
        <w:tc>
          <w:tcPr>
            <w:tcW w:type="dxa" w:w="1152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8"/>
              </w:rPr>
              <w:t>修订人</w:t>
            </w:r>
          </w:p>
        </w:tc>
        <w:tc>
          <w:tcPr>
            <w:tcW w:type="dxa" w:w="2015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8"/>
              </w:rPr>
              <w:t>修订日期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V1.0.0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创建 BI 系统文档首期需求内容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2026.07.30</w:t>
            </w:r>
          </w:p>
        </w:tc>
      </w:tr>
      <w:tr>
        <w:tc>
          <w:tcPr>
            <w:tcW w:type="dxa" w:w="64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V1.1.0</w:t>
            </w:r>
          </w:p>
        </w:tc>
        <w:tc>
          <w:tcPr>
            <w:tcW w:type="dxa" w:w="511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补充首页、账户管理、角色管理与权限管理需求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2026.07.31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V1.2.0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角色改为列表展示；权限细化至页面数据指标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2026.07.31</w:t>
            </w:r>
          </w:p>
        </w:tc>
      </w:tr>
      <w:tr>
        <w:tc>
          <w:tcPr>
            <w:tcW w:type="dxa" w:w="64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V1.2.1</w:t>
            </w:r>
          </w:p>
        </w:tc>
        <w:tc>
          <w:tcPr>
            <w:tcW w:type="dxa" w:w="511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移除首页工作台，系统默认进入用户数据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2026.07.31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V1.3.0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基础数据暂不开放导出；修复权限父子联动；系统管理权限调整为页面操作树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2026.07.31</w:t>
            </w:r>
          </w:p>
        </w:tc>
      </w:tr>
      <w:tr>
        <w:tc>
          <w:tcPr>
            <w:tcW w:type="dxa" w:w="64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V1.3.1</w:t>
            </w:r>
          </w:p>
        </w:tc>
        <w:tc>
          <w:tcPr>
            <w:tcW w:type="dxa" w:w="511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补充账户密码管理与退出登录；精简角色列表；暂时移除数据范围权限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2026.07.31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V1.3.2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经营数据利润公式调整为公司视角的带符号加总口径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2026.07.31</w:t>
            </w:r>
          </w:p>
        </w:tc>
      </w:tr>
      <w:tr>
        <w:tc>
          <w:tcPr>
            <w:tcW w:type="dxa" w:w="64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V1.3.3</w:t>
            </w:r>
          </w:p>
        </w:tc>
        <w:tc>
          <w:tcPr>
            <w:tcW w:type="dxa" w:w="511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调整拟真盈亏符号；成本与毛利润支持折叠；移除独立月度交易毛利模块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2026.07.31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V1.3.4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上层清算盈亏改为按月人工录入和修改，未录入按 0 计算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2026.07.31</w:t>
            </w:r>
          </w:p>
        </w:tc>
      </w:tr>
      <w:tr>
        <w:tc>
          <w:tcPr>
            <w:tcW w:type="dxa" w:w="64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V1.3.5</w:t>
            </w:r>
          </w:p>
        </w:tc>
        <w:tc>
          <w:tcPr>
            <w:tcW w:type="dxa" w:w="511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调整产品运营成本七项明细；增加经营数据人工维护操作权限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2026.07.31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V1.3.6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权限树将导出列统一改为操作列，页面行为权限合并至对应页面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2026.07.31</w:t>
            </w:r>
          </w:p>
        </w:tc>
      </w:tr>
      <w:tr>
        <w:tc>
          <w:tcPr>
            <w:tcW w:type="dxa" w:w="64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V1.3.7</w:t>
            </w:r>
          </w:p>
        </w:tc>
        <w:tc>
          <w:tcPr>
            <w:tcW w:type="dxa" w:w="511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经营数据权限收敛为损益表、月度出入金和近12个月数据三个模块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2026.07.31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V1.3.8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部门改为自由填写；隐藏角色编码；毛利润移出损益表并改为月度卡片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2026.07.31</w:t>
            </w:r>
          </w:p>
        </w:tc>
      </w:tr>
      <w:tr>
        <w:tc>
          <w:tcPr>
            <w:tcW w:type="dxa" w:w="64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V1.3.9</w:t>
            </w:r>
          </w:p>
        </w:tc>
        <w:tc>
          <w:tcPr>
            <w:tcW w:type="dxa" w:w="511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月度毛利润增加点差利润，并明确总额与组成项关系</w:t>
            </w:r>
          </w:p>
        </w:tc>
        <w:tc>
          <w:tcPr>
            <w:tcW w:type="dxa" w:w="115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8"/>
              </w:rPr>
              <w:t>张玲</w:t>
            </w:r>
          </w:p>
        </w:tc>
        <w:tc>
          <w:tcPr>
            <w:tcW w:type="dxa" w:w="201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8"/>
              </w:rPr>
              <w:t>2026.07.31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背景与目标</w:t>
      </w:r>
    </w:p>
    <w:p>
      <w:r>
        <w:t>该系统负责统计 Cheer Trade 产品各业务维度的数据并进行可视化展示，同时支持输出各部门所需的定制化数据报表，如财务报表、合规报表、市场报表等。由于统计数据具有较高敏感性和业务重要性，BI 系统不与现有 CMS 共用应用，采用独立系统、独立权限和独立发布部署。</w:t>
      </w:r>
    </w:p>
    <w:p>
      <w:pPr>
        <w:pStyle w:val="Heading2"/>
        <w:keepNext/>
      </w:pPr>
      <w:r>
        <w:t>2.1 建设目标</w:t>
      </w:r>
    </w:p>
    <w:p>
      <w:pPr>
        <w:pStyle w:val="ListBullet"/>
        <w:spacing w:after="60"/>
        <w:ind w:left="360" w:hanging="202"/>
      </w:pPr>
      <w:r>
        <w:t>建立统一、可追溯的数据指标口径，减少不同部门对同一指标的理解偏差。</w:t>
      </w:r>
    </w:p>
    <w:p>
      <w:pPr>
        <w:pStyle w:val="ListBullet"/>
        <w:spacing w:after="60"/>
        <w:ind w:left="360" w:hanging="202"/>
      </w:pPr>
      <w:r>
        <w:t>提供用户、出入金、交易、账户资金及经营损益的趋势与维度分析能力。</w:t>
      </w:r>
    </w:p>
    <w:p>
      <w:pPr>
        <w:pStyle w:val="ListBullet"/>
        <w:spacing w:after="60"/>
        <w:ind w:left="360" w:hanging="202"/>
      </w:pPr>
      <w:r>
        <w:t>通过概览卡片、详情趋势图、排名及结构视图，提升异常识别和经营判断效率。</w:t>
      </w:r>
    </w:p>
    <w:p>
      <w:pPr>
        <w:pStyle w:val="ListBullet"/>
        <w:spacing w:after="60"/>
        <w:ind w:left="360" w:hanging="202"/>
      </w:pPr>
      <w:r>
        <w:t>为后续财务、合规、市场等定制报表及数据导出能力预留扩展空间。</w:t>
      </w:r>
    </w:p>
    <w:p>
      <w:pPr>
        <w:pStyle w:val="Heading2"/>
        <w:keepNext/>
      </w:pPr>
      <w:r>
        <w:t>2.2 首期成功标准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208"/>
      </w:tblGrid>
      <w:tr>
        <w:trPr>
          <w:tblHeader w:val="true"/>
        </w:trPr>
        <w:tc>
          <w:tcPr>
            <w:tcW w:type="dxa" w:w="1872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820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口径一致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页面展示值与经确认的数据查询结果一致；关键指标抽样核对无差异。</w:t>
            </w:r>
          </w:p>
        </w:tc>
      </w:tr>
      <w:tr>
        <w:tc>
          <w:tcPr>
            <w:tcW w:type="dxa" w:w="187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刷新有效</w:t>
            </w:r>
          </w:p>
        </w:tc>
        <w:tc>
          <w:tcPr>
            <w:tcW w:type="dxa" w:w="820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基础数据在页面加载或手动刷新后获取最新统计结果，并显示更新时间。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维度可用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所有已定义维度均可筛选，筛选后总值、趋势、图例及辅助视图同步更新。</w:t>
            </w:r>
          </w:p>
        </w:tc>
      </w:tr>
      <w:tr>
        <w:tc>
          <w:tcPr>
            <w:tcW w:type="dxa" w:w="187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权限隔离</w:t>
            </w:r>
          </w:p>
        </w:tc>
        <w:tc>
          <w:tcPr>
            <w:tcW w:type="dxa" w:w="820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未授权用户不可访问系统或敏感模块；访问及导出行为可审计。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可用性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常用桌面分辨率下无横向溢出，趋势图具备悬浮提示、图例筛选和可读日期。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需求范围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2A87A"/>
              </w:rPr>
              <w:t>首期范围</w:t>
            </w:r>
          </w:p>
          <w:p>
            <w:pPr>
              <w:spacing w:after="0"/>
            </w:pPr>
            <w:r>
              <w:t>基础数据（用户数据、出入金数据、交易数据、资金数据）、财务数据（经营数据）及系统管理（账户、角色、权限）。基础数据为实时查询口径；经营数据为月度结算口径。首页工作台暂不纳入首期范围。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信息架构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088"/>
        <w:gridCol w:w="6192"/>
      </w:tblGrid>
      <w:tr>
        <w:trPr>
          <w:tblHeader w:val="true"/>
        </w:trPr>
        <w:tc>
          <w:tcPr>
            <w:tcW w:type="dxa" w:w="180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一级菜单</w:t>
            </w:r>
          </w:p>
        </w:tc>
        <w:tc>
          <w:tcPr>
            <w:tcW w:type="dxa" w:w="208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二级页面</w:t>
            </w:r>
          </w:p>
        </w:tc>
        <w:tc>
          <w:tcPr>
            <w:tcW w:type="dxa" w:w="6192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页面定位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基础数据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用户数据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客户注册、认证、开户、首次入金及交易转化趋势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基础数据</w:t>
            </w:r>
          </w:p>
        </w:tc>
        <w:tc>
          <w:tcPr>
            <w:tcW w:type="dxa" w:w="208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出入金数据</w:t>
            </w:r>
          </w:p>
        </w:tc>
        <w:tc>
          <w:tcPr>
            <w:tcW w:type="dxa" w:w="619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用户资金流入、流出、净入金及处理中出金趋势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基础数据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交易数据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开仓订单、开仓账户与开仓手数趋势及品类/品种分析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基础数据</w:t>
            </w:r>
          </w:p>
        </w:tc>
        <w:tc>
          <w:tcPr>
            <w:tcW w:type="dxa" w:w="208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资金数据</w:t>
            </w:r>
          </w:p>
        </w:tc>
        <w:tc>
          <w:tcPr>
            <w:tcW w:type="dxa" w:w="619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交易账户与 Funding 账户每日 EOD 资金快照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财务数据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经营数据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月度公司利润、运营成本、出入金及交易毛利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系统管理</w:t>
            </w:r>
          </w:p>
        </w:tc>
        <w:tc>
          <w:tcPr>
            <w:tcW w:type="dxa" w:w="208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账户管理</w:t>
            </w:r>
          </w:p>
        </w:tc>
        <w:tc>
          <w:tcPr>
            <w:tcW w:type="dxa" w:w="619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创建、查询、编辑、启用及停用系统账户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系统管理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角色管理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创建角色、定义职责并关联账户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系统管理</w:t>
            </w:r>
          </w:p>
        </w:tc>
        <w:tc>
          <w:tcPr>
            <w:tcW w:type="dxa" w:w="208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权限管理</w:t>
            </w:r>
          </w:p>
        </w:tc>
        <w:tc>
          <w:tcPr>
            <w:tcW w:type="dxa" w:w="619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按角色配置页面、数据指标和操作权限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全局统计规则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tblHeader w:val="true"/>
        </w:trPr>
        <w:tc>
          <w:tcPr>
            <w:tcW w:type="dxa" w:w="194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规则项</w:t>
            </w:r>
          </w:p>
        </w:tc>
        <w:tc>
          <w:tcPr>
            <w:tcW w:type="dxa" w:w="8136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规则说明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默认时间范围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基础数据页面默认展示近 30 天；支持今日、昨日、近 7 天、近 30 天及自定义时间。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刷新规则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基础数据根据页面加载时间查询；每次页面刷新或点击“刷新数据”均重新获取最新数据，并展示查询范围和更新时间。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白名单排除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所有基础指标均不计算白名单 UID。若一个白名单 UID 关联多个 Account Number，则该 UID 名下所有交易账户数据均排除。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白名单用途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当前白名单仅用于内部测试账户排除，不承载营销、合规或其他业务用途。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唯一性规则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用户类指标以 UID 去重；交易账户类指标以 Account Number 去重；订单类指标以唯一 Order ID 计数。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金额规则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默认统一折算并展示为 USD equivalent；选择原币种时按选定币种口径展示。汇率来源与折算时点由数据团队确认。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时间规则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基础数据按服务器时间统计；EOD 指服务器时间每日 23:59:59。经营数据按自然月统计。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空值与异常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无数据时展示“暂无数据”，不得显示为 0；接口异常时保留页面结构并提示重新加载，不展示伪造结果。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基础数据</w:t>
      </w:r>
    </w:p>
    <w:p>
      <w:r>
        <w:t>“基础数据”仅作为一级菜单，不设置独立总览页面。用户点击一级菜单后展开二级页面，并默认进入“用户数据”。</w:t>
      </w:r>
    </w:p>
    <w:p>
      <w:pPr>
        <w:pStyle w:val="Heading2"/>
        <w:keepNext/>
      </w:pPr>
      <w:r>
        <w:t>4.1 用户数据</w:t>
      </w:r>
    </w:p>
    <w:p>
      <w:r>
        <w:t>用户数据用于观察客户生命周期各节点的数量变化。页面内每个指标以“汇总值 + 每日趋势图”展示，点击指标卡片右上角详情按钮进入对应指标详情页。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655"/>
        <w:gridCol w:w="1944"/>
        <w:gridCol w:w="3671"/>
        <w:gridCol w:w="1296"/>
      </w:tblGrid>
      <w:tr>
        <w:trPr>
          <w:tblHeader w:val="true"/>
        </w:trPr>
        <w:tc>
          <w:tcPr>
            <w:tcW w:type="dxa" w:w="1512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统计数据</w:t>
            </w:r>
          </w:p>
        </w:tc>
        <w:tc>
          <w:tcPr>
            <w:tcW w:type="dxa" w:w="1655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英文字段</w:t>
            </w:r>
          </w:p>
        </w:tc>
        <w:tc>
          <w:tcPr>
            <w:tcW w:type="dxa" w:w="194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建议技术字段</w:t>
            </w:r>
          </w:p>
        </w:tc>
        <w:tc>
          <w:tcPr>
            <w:tcW w:type="dxa" w:w="3671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统计逻辑</w:t>
            </w:r>
          </w:p>
        </w:tc>
        <w:tc>
          <w:tcPr>
            <w:tcW w:type="dxa" w:w="1296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支持的数据筛选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注册用户数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Registered Users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registered_user_count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查询时间范围内注册成功的 UID 数量；UID 去重；排除白名单用户。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注册方式：Phone / Email</w:t>
            </w:r>
          </w:p>
        </w:tc>
      </w:tr>
      <w:tr>
        <w:tc>
          <w:tcPr>
            <w:tcW w:type="dxa" w:w="151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KYC 完成用户数</w:t>
            </w:r>
          </w:p>
        </w:tc>
        <w:tc>
          <w:tcPr>
            <w:tcW w:type="dxa" w:w="165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KYC Completed Users</w:t>
            </w:r>
          </w:p>
        </w:tc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kyc_completed_user_count</w:t>
            </w:r>
          </w:p>
        </w:tc>
        <w:tc>
          <w:tcPr>
            <w:tcW w:type="dxa" w:w="3671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查询时间范围内首次达到 Lv1 的 UID 数量；达到 Lv1 即视为 KYC 完成。升级至 Lv2/Lv3 不重复增加完成用户总数，仅更新等级归属。UID 去重；排除白名单用户。</w:t>
            </w:r>
          </w:p>
        </w:tc>
        <w:tc>
          <w:tcPr>
            <w:tcW w:type="dxa" w:w="129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KYC 等级：Lv1 / Lv2 / Lv3 / 全部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开户用户数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Trading Account Opened Users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account_opened_user_count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查询时间范围内成功开通至少一个交易账户的 UID 数量；同一 UID 多账户只计 1 人；排除白名单用户。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首期无额外维度</w:t>
            </w:r>
          </w:p>
        </w:tc>
      </w:tr>
      <w:tr>
        <w:tc>
          <w:tcPr>
            <w:tcW w:type="dxa" w:w="151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首次入金用户数</w:t>
            </w:r>
          </w:p>
        </w:tc>
        <w:tc>
          <w:tcPr>
            <w:tcW w:type="dxa" w:w="165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First Deposit Users</w:t>
            </w:r>
          </w:p>
        </w:tc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first_deposit_user_count</w:t>
            </w:r>
          </w:p>
        </w:tc>
        <w:tc>
          <w:tcPr>
            <w:tcW w:type="dxa" w:w="3671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查询时间范围内完成生命周期首次成功入金的 UID 数量；UID 去重；排除白名单用户。</w:t>
            </w:r>
          </w:p>
        </w:tc>
        <w:tc>
          <w:tcPr>
            <w:tcW w:type="dxa" w:w="129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入金通道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交易用户数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Trading Users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trading_user_count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查询时间范围内发生至少一笔开仓或平仓交易的 UID 数量；UID 去重；排除白名单用户及其全部 Account Number。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交易行为：全部 / 开仓 / 平仓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出入金数据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655"/>
        <w:gridCol w:w="1944"/>
        <w:gridCol w:w="3671"/>
        <w:gridCol w:w="1296"/>
      </w:tblGrid>
      <w:tr>
        <w:trPr>
          <w:tblHeader w:val="true"/>
        </w:trPr>
        <w:tc>
          <w:tcPr>
            <w:tcW w:type="dxa" w:w="1512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统计数据</w:t>
            </w:r>
          </w:p>
        </w:tc>
        <w:tc>
          <w:tcPr>
            <w:tcW w:type="dxa" w:w="1655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英文字段</w:t>
            </w:r>
          </w:p>
        </w:tc>
        <w:tc>
          <w:tcPr>
            <w:tcW w:type="dxa" w:w="194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建议技术字段</w:t>
            </w:r>
          </w:p>
        </w:tc>
        <w:tc>
          <w:tcPr>
            <w:tcW w:type="dxa" w:w="3671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统计逻辑</w:t>
            </w:r>
          </w:p>
        </w:tc>
        <w:tc>
          <w:tcPr>
            <w:tcW w:type="dxa" w:w="1296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支持的数据筛选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入金用户数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Deposit Users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deposit_user_count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查询时间范围内至少有一笔入金成功的 UID 数量；UID 去重；排除白名单用户。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入金通道</w:t>
            </w:r>
          </w:p>
        </w:tc>
      </w:tr>
      <w:tr>
        <w:tc>
          <w:tcPr>
            <w:tcW w:type="dxa" w:w="151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入金金额</w:t>
            </w:r>
          </w:p>
        </w:tc>
        <w:tc>
          <w:tcPr>
            <w:tcW w:type="dxa" w:w="165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Deposit Amount</w:t>
            </w:r>
          </w:p>
        </w:tc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deposit_amount_usd</w:t>
            </w:r>
          </w:p>
        </w:tc>
        <w:tc>
          <w:tcPr>
            <w:tcW w:type="dxa" w:w="3671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查询时间范围内状态为成功的入金金额合计；默认折算为 USD equivalent；排除白名单用户。</w:t>
            </w:r>
          </w:p>
        </w:tc>
        <w:tc>
          <w:tcPr>
            <w:tcW w:type="dxa" w:w="129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币种：USD/AED；入金通道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出金金额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Withdrawal Amount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withdrawal_amount_usd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查询时间范围内状态为成功的出金金额合计；默认折算为 USD equivalent；排除白名单用户。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币种：USD/AED；出金通道</w:t>
            </w:r>
          </w:p>
        </w:tc>
      </w:tr>
      <w:tr>
        <w:tc>
          <w:tcPr>
            <w:tcW w:type="dxa" w:w="151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净入金金额</w:t>
            </w:r>
          </w:p>
        </w:tc>
        <w:tc>
          <w:tcPr>
            <w:tcW w:type="dxa" w:w="165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Net Deposit Amount</w:t>
            </w:r>
          </w:p>
        </w:tc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net_deposit_amount_usd</w:t>
            </w:r>
          </w:p>
        </w:tc>
        <w:tc>
          <w:tcPr>
            <w:tcW w:type="dxa" w:w="3671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同一查询口径下，入金成功金额减去出金成功金额；可为负数；排除白名单用户。</w:t>
            </w:r>
          </w:p>
        </w:tc>
        <w:tc>
          <w:tcPr>
            <w:tcW w:type="dxa" w:w="129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币种：USD/AED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已申请出金金额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Pending Withdrawal Amount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pending_withdrawal_amount_usd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查询时间范围内已申请且当前状态为处理中的出金金额合计；状态转为成功、失败或取消后不再计入处理中过滤结果。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币种；出金通道</w:t>
            </w:r>
          </w:p>
        </w:tc>
      </w:tr>
    </w:tbl>
    <w:p>
      <w:pPr>
        <w:spacing w:after="20"/>
      </w:pPr>
    </w:p>
    <w:p>
      <w:pPr>
        <w:spacing w:before="80" w:after="160"/>
        <w:jc w:val="center"/>
      </w:pPr>
      <w:r>
        <w:rPr>
          <w:rFonts w:ascii="黑体-简" w:hAnsi="黑体-简" w:eastAsia="黑体-简"/>
          <w:b/>
          <w:color w:val="2F6BFF"/>
          <w:sz w:val="20"/>
        </w:rPr>
        <w:t>净入金金额 = 入金成功金额 − 出金成功金额</w:t>
      </w:r>
    </w:p>
    <w:p>
      <w:pPr>
        <w:pStyle w:val="Heading2"/>
        <w:keepNext/>
      </w:pPr>
      <w:r>
        <w:t>4.3 交易数据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728"/>
        <w:gridCol w:w="1944"/>
        <w:gridCol w:w="3671"/>
        <w:gridCol w:w="1224"/>
      </w:tblGrid>
      <w:tr>
        <w:trPr>
          <w:tblHeader w:val="true"/>
        </w:trPr>
        <w:tc>
          <w:tcPr>
            <w:tcW w:type="dxa" w:w="1512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统计数据</w:t>
            </w:r>
          </w:p>
        </w:tc>
        <w:tc>
          <w:tcPr>
            <w:tcW w:type="dxa" w:w="172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英文字段</w:t>
            </w:r>
          </w:p>
        </w:tc>
        <w:tc>
          <w:tcPr>
            <w:tcW w:type="dxa" w:w="194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建议技术字段</w:t>
            </w:r>
          </w:p>
        </w:tc>
        <w:tc>
          <w:tcPr>
            <w:tcW w:type="dxa" w:w="3671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统计逻辑</w:t>
            </w:r>
          </w:p>
        </w:tc>
        <w:tc>
          <w:tcPr>
            <w:tcW w:type="dxa" w:w="122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支持的数据筛选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开仓订单数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Opened Orders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opened_order_count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查询时间范围内成功开仓的唯一订单数量；按 Order ID 去重；排除白名单 UID 名下全部 Account Number 的交易。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展示维度：按品类 / 按品种</w:t>
            </w:r>
          </w:p>
        </w:tc>
      </w:tr>
      <w:tr>
        <w:tc>
          <w:tcPr>
            <w:tcW w:type="dxa" w:w="151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开仓交易账户数</w:t>
            </w:r>
          </w:p>
        </w:tc>
        <w:tc>
          <w:tcPr>
            <w:tcW w:type="dxa" w:w="172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Active Opening Accounts</w:t>
            </w:r>
          </w:p>
        </w:tc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opening_account_count</w:t>
            </w:r>
          </w:p>
        </w:tc>
        <w:tc>
          <w:tcPr>
            <w:tcW w:type="dxa" w:w="3671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查询时间范围内发生至少一笔成功开仓交易的 Account Number 数量；账户去重；排除白名单 UID 名下账户。</w:t>
            </w:r>
          </w:p>
        </w:tc>
        <w:tc>
          <w:tcPr>
            <w:tcW w:type="dxa" w:w="122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展示维度：按品类 / 按品种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开仓交易手数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Opened Trading Lots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opened_lots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查询时间范围内成功开仓交易手数合计；排除白名单 UID 名下账户。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展示维度：按品类 / 按品种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4.3.1 品类与品种展示规则</w:t>
      </w:r>
    </w:p>
    <w:p>
      <w:pPr>
        <w:pStyle w:val="ListBullet"/>
        <w:spacing w:after="60"/>
        <w:ind w:left="360" w:hanging="202"/>
      </w:pPr>
      <w:r>
        <w:t>按品类：趋势图按交易品类拆分曲线，展示各品类每日指标值。</w:t>
      </w:r>
    </w:p>
    <w:p>
      <w:pPr>
        <w:pStyle w:val="ListBullet"/>
        <w:spacing w:after="60"/>
        <w:ind w:left="360" w:hanging="202"/>
      </w:pPr>
      <w:r>
        <w:t>按品种：趋势图按具体 Symbol 拆分曲线；默认展示当前指标排名 Top 10。</w:t>
      </w:r>
    </w:p>
    <w:p>
      <w:pPr>
        <w:pStyle w:val="ListBullet"/>
        <w:spacing w:after="60"/>
        <w:ind w:left="360" w:hanging="202"/>
      </w:pPr>
      <w:r>
        <w:t>排名口径随指标变化：开仓订单数按订单数排序；开仓交易账户数按账户数排序；开仓交易手数按手数排序。</w:t>
      </w:r>
    </w:p>
    <w:p>
      <w:pPr>
        <w:pStyle w:val="ListBullet"/>
        <w:spacing w:after="60"/>
        <w:ind w:left="360" w:hanging="202"/>
      </w:pPr>
      <w:r>
        <w:t>用户可切换 Top 10、Top 20、Top 30 或 All；切换后图例、曲线和排名结果同步更新。</w:t>
      </w:r>
    </w:p>
    <w:p>
      <w:pPr>
        <w:pStyle w:val="ListBullet"/>
        <w:spacing w:after="60"/>
        <w:ind w:left="360" w:hanging="202"/>
      </w:pPr>
      <w:r>
        <w:t>提供“查看全部品种排行”入口，用于查看全部品种及其指标值和名次；不提供“添加曲线”或“添加其他品种”按钮。</w:t>
      </w:r>
    </w:p>
    <w:p>
      <w:pPr>
        <w:pStyle w:val="ListBullet"/>
        <w:spacing w:after="60"/>
        <w:ind w:left="360" w:hanging="202"/>
      </w:pPr>
      <w:r>
        <w:t>品种较多时图例支持滚动或分页，避免图表区域被图例挤压。</w:t>
      </w:r>
    </w:p>
    <w:p>
      <w:pPr>
        <w:pStyle w:val="Heading2"/>
        <w:keepNext/>
      </w:pPr>
      <w:r>
        <w:t>4.4 资金数据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728"/>
        <w:gridCol w:w="1944"/>
        <w:gridCol w:w="3528"/>
        <w:gridCol w:w="1296"/>
      </w:tblGrid>
      <w:tr>
        <w:trPr>
          <w:tblHeader w:val="true"/>
        </w:trPr>
        <w:tc>
          <w:tcPr>
            <w:tcW w:type="dxa" w:w="158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统计数据</w:t>
            </w:r>
          </w:p>
        </w:tc>
        <w:tc>
          <w:tcPr>
            <w:tcW w:type="dxa" w:w="172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英文字段</w:t>
            </w:r>
          </w:p>
        </w:tc>
        <w:tc>
          <w:tcPr>
            <w:tcW w:type="dxa" w:w="194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建议技术字段</w:t>
            </w:r>
          </w:p>
        </w:tc>
        <w:tc>
          <w:tcPr>
            <w:tcW w:type="dxa" w:w="352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统计逻辑</w:t>
            </w:r>
          </w:p>
        </w:tc>
        <w:tc>
          <w:tcPr>
            <w:tcW w:type="dxa" w:w="1296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支持的数据筛选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交易账户 Balance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Trading Account Balance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trading_balance_eod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按天统计服务器时间 23:59:59 时所有 Account Number 的交易账户余额合计；默认折算为 USD equivalent；排除白名单 UID 名下账户。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币种：USD/AED</w:t>
            </w:r>
          </w:p>
        </w:tc>
      </w:tr>
      <w:tr>
        <w:tc>
          <w:tcPr>
            <w:tcW w:type="dxa" w:w="158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交易账户 Equity</w:t>
            </w:r>
          </w:p>
        </w:tc>
        <w:tc>
          <w:tcPr>
            <w:tcW w:type="dxa" w:w="172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Trading Account Equity</w:t>
            </w:r>
          </w:p>
        </w:tc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trading_equity_eod</w:t>
            </w:r>
          </w:p>
        </w:tc>
        <w:tc>
          <w:tcPr>
            <w:tcW w:type="dxa" w:w="352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按天统计服务器时间 23:59:59 时所有 Account Number 的交易账户净值合计；默认折算为 USD equivalent；排除白名单 UID 名下账户。</w:t>
            </w:r>
          </w:p>
        </w:tc>
        <w:tc>
          <w:tcPr>
            <w:tcW w:type="dxa" w:w="129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币种：USD/AED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Funding Balance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Funding Account Balance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funding_balance_eod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按天统计服务器时间 23:59:59 时所有 Client 名下 Funding 账户剩余金额合计；默认折算为 USD equivalent；排除白名单 UID。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币种：USD/AED/USDT 等；金额类型：全部/冻结/可用</w:t>
            </w:r>
          </w:p>
        </w:tc>
      </w:tr>
    </w:tbl>
    <w:p>
      <w:pPr>
        <w:spacing w:after="20"/>
      </w:pP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2A87A"/>
              </w:rPr>
              <w:t>重要口径</w:t>
            </w:r>
          </w:p>
          <w:p>
            <w:pPr>
              <w:spacing w:after="0"/>
            </w:pPr>
            <w:r>
              <w:t>Balance、Equity 与 Funding Balance 均为时点快照值。页面顶部汇总值取查询范围内最后一个有数据日期的 EOD 值，不对每日值求和。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财务数据</w:t>
      </w:r>
    </w:p>
    <w:p>
      <w:r>
        <w:t>“财务数据”为独立一级菜单，首期包含二级页面“经营数据”。经营数据用于展示每月运营成本、经营利润、月度资金流与交易毛利。</w:t>
      </w:r>
    </w:p>
    <w:p>
      <w:pPr>
        <w:pStyle w:val="Heading2"/>
        <w:keepNext/>
      </w:pPr>
      <w:r>
        <w:t>5.1 经营数据统计周期</w:t>
      </w:r>
    </w:p>
    <w:p>
      <w:pPr>
        <w:pStyle w:val="ListBullet"/>
        <w:spacing w:after="60"/>
        <w:ind w:left="360" w:hanging="202"/>
      </w:pPr>
      <w:r>
        <w:t>统计周期为自然月：上月 1 日 00:00:00（含）至本月 1 日 00:00:00（不含）。</w:t>
      </w:r>
    </w:p>
    <w:p>
      <w:pPr>
        <w:pStyle w:val="ListBullet"/>
        <w:spacing w:after="60"/>
        <w:ind w:left="360" w:hanging="202"/>
      </w:pPr>
      <w:r>
        <w:t>每月 1 日生成并更新上一个自然月的汇总数据；系统支持选择历史年月查看。</w:t>
      </w:r>
    </w:p>
    <w:p>
      <w:pPr>
        <w:pStyle w:val="ListBullet"/>
        <w:spacing w:after="60"/>
        <w:ind w:left="360" w:hanging="202"/>
      </w:pPr>
      <w:r>
        <w:t>金额统一按 USD equivalent 展示；结算汇率及修订机制由财务与数据团队确认。</w:t>
      </w:r>
    </w:p>
    <w:p>
      <w:pPr>
        <w:pStyle w:val="ListBullet"/>
        <w:spacing w:after="60"/>
        <w:ind w:left="360" w:hanging="202"/>
      </w:pPr>
      <w:r>
        <w:t>首期损益表仅展示“月度汇总”一列，不展示每日列。</w:t>
      </w:r>
    </w:p>
    <w:p>
      <w:pPr>
        <w:pStyle w:val="ListBullet"/>
        <w:spacing w:after="60"/>
        <w:ind w:left="360" w:hanging="202"/>
      </w:pPr>
      <w:r>
        <w:t>如月度数据发生追溯修订，应记录修订时间、修订人、修订原因和修订前后值。</w:t>
      </w:r>
    </w:p>
    <w:p>
      <w:pPr>
        <w:pStyle w:val="Heading2"/>
        <w:keepNext/>
      </w:pPr>
      <w:r>
        <w:t>5.2 公司利润计算</w:t>
      </w:r>
    </w:p>
    <w:p>
      <w:pPr>
        <w:spacing w:before="80" w:after="160"/>
        <w:jc w:val="center"/>
      </w:pPr>
      <w:r>
        <w:rPr>
          <w:rFonts w:ascii="黑体-简" w:hAnsi="黑体-简" w:eastAsia="黑体-简"/>
          <w:b/>
          <w:color w:val="2F6BFF"/>
          <w:sz w:val="20"/>
        </w:rPr>
        <w:t>公司净利润 = 上层清算盈亏 + 客户平仓盈亏 + 浮动盈亏（可选） + 股票分红 + 产品运营成本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2A87A"/>
              </w:rPr>
              <w:t>符号口径</w:t>
            </w:r>
          </w:p>
          <w:p>
            <w:pPr>
              <w:spacing w:after="0"/>
            </w:pPr>
            <w:r>
              <w:t>公式中的五项数据均以公司视角保存和展示，并直接按带符号金额相加。对公司形成收入或盈利的金额为正数；对公司形成支出、成本或亏损的金额为负数。前端不得再次对成本项取反或额外做减法。</w:t>
            </w:r>
          </w:p>
        </w:tc>
      </w:tr>
    </w:tbl>
    <w:p>
      <w:pPr>
        <w:spacing w:after="20"/>
      </w:pP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232"/>
        <w:gridCol w:w="5760"/>
      </w:tblGrid>
      <w:tr>
        <w:trPr>
          <w:tblHeader w:val="true"/>
        </w:trPr>
        <w:tc>
          <w:tcPr>
            <w:tcW w:type="dxa" w:w="208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232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英文字段</w:t>
            </w:r>
          </w:p>
        </w:tc>
        <w:tc>
          <w:tcPr>
            <w:tcW w:type="dxa" w:w="576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统计定义 / 计算规则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上层清算盈亏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LP Settlement P&amp;L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按经营月份人工录入。从公司视角填写：公司盈利为正，公司亏损为负；未录入时取 0，录入或修改后使用实际金额重新计算毛利润和公司净利润。</w:t>
            </w:r>
          </w:p>
        </w:tc>
      </w:tr>
      <w:tr>
        <w:tc>
          <w:tcPr>
            <w:tcW w:type="dxa" w:w="208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客户平仓盈亏</w:t>
            </w:r>
          </w:p>
        </w:tc>
        <w:tc>
          <w:tcPr>
            <w:tcW w:type="dxa" w:w="223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Client Closed P&amp;L</w:t>
            </w:r>
          </w:p>
        </w:tc>
        <w:tc>
          <w:tcPr>
            <w:tcW w:type="dxa" w:w="57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源数据通常表现为客户亏损（负数）；映射到公司视角后通常为正数。正式统计以公司视角金额进入利润公式。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浮动盈亏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Floating P&amp;L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源数据通常表现为客户浮动亏损（负数）；映射到公司视角后通常为正数。页面提供显示/隐藏开关；显示时按公司视角金额加入公式。</w:t>
            </w:r>
          </w:p>
        </w:tc>
      </w:tr>
      <w:tr>
        <w:tc>
          <w:tcPr>
            <w:tcW w:type="dxa" w:w="208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股票分红</w:t>
            </w:r>
          </w:p>
        </w:tc>
        <w:tc>
          <w:tcPr>
            <w:tcW w:type="dxa" w:w="223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Stock Dividend</w:t>
            </w:r>
          </w:p>
        </w:tc>
        <w:tc>
          <w:tcPr>
            <w:tcW w:type="dxa" w:w="57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从公司视角统计股票及指数相关分红形成的盈亏；收入为正，成本或支出为负。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产品运营成本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Product Operational Cost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统计月份内产品运营产生的成本，按公司视角记录为负数；各项明细加总后直接加入公式，详见 5.3。</w:t>
            </w:r>
          </w:p>
        </w:tc>
      </w:tr>
      <w:tr>
        <w:tc>
          <w:tcPr>
            <w:tcW w:type="dxa" w:w="208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公司净利润</w:t>
            </w:r>
          </w:p>
        </w:tc>
        <w:tc>
          <w:tcPr>
            <w:tcW w:type="dxa" w:w="223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Company Net Profit</w:t>
            </w:r>
          </w:p>
        </w:tc>
        <w:tc>
          <w:tcPr>
            <w:tcW w:type="dxa" w:w="57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上述五项公司视角带符号金额的直接加总；正数表示盈利，负数表示亏损。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5.2.1 上层清算盈亏录入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8063"/>
      </w:tblGrid>
      <w:tr>
        <w:trPr>
          <w:tblHeader w:val="true"/>
        </w:trPr>
        <w:tc>
          <w:tcPr>
            <w:tcW w:type="dxa" w:w="2015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8063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录入入口</w:t>
            </w:r>
          </w:p>
        </w:tc>
        <w:tc>
          <w:tcPr>
            <w:tcW w:type="dxa" w:w="80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在月度损益表的 Settlement P&amp;L / 上层清算盈亏行提供“录入”按钮。</w:t>
            </w:r>
          </w:p>
        </w:tc>
      </w:tr>
      <w:tr>
        <w:tc>
          <w:tcPr>
            <w:tcW w:type="dxa" w:w="201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录入字段</w:t>
            </w:r>
          </w:p>
        </w:tc>
        <w:tc>
          <w:tcPr>
            <w:tcW w:type="dxa" w:w="8063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经营月份自动取当前页面选择月份且不可在弹窗中修改；金额必填，币种为 USD，支持正数、负数、0 和两位小数。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默认计算</w:t>
            </w:r>
          </w:p>
        </w:tc>
        <w:tc>
          <w:tcPr>
            <w:tcW w:type="dxa" w:w="80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当前月份未保存人工金额时，页面展示 0，并以 0 参与毛利润和公司净利润计算。</w:t>
            </w:r>
          </w:p>
        </w:tc>
      </w:tr>
      <w:tr>
        <w:tc>
          <w:tcPr>
            <w:tcW w:type="dxa" w:w="201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修改入口</w:t>
            </w:r>
          </w:p>
        </w:tc>
        <w:tc>
          <w:tcPr>
            <w:tcW w:type="dxa" w:w="8063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当前月份已有保存值时，按钮显示“修改”；弹窗回显原金额，保存后覆盖该月份原值。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联动更新</w:t>
            </w:r>
          </w:p>
        </w:tc>
        <w:tc>
          <w:tcPr>
            <w:tcW w:type="dxa" w:w="80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保存成功后立即刷新损益表、A/B Book 毛利润、公司净利润及近 12 个月利润趋势。</w:t>
            </w:r>
          </w:p>
        </w:tc>
      </w:tr>
      <w:tr>
        <w:tc>
          <w:tcPr>
            <w:tcW w:type="dxa" w:w="201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权限与审计</w:t>
            </w:r>
          </w:p>
        </w:tc>
        <w:tc>
          <w:tcPr>
            <w:tcW w:type="dxa" w:w="8063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仅具有经营数据维护权限的角色可录入或修改；记录操作人、操作时间、月份、修改前金额、修改后金额和修改原因。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产品运营成本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232"/>
        <w:gridCol w:w="2160"/>
        <w:gridCol w:w="3960"/>
      </w:tblGrid>
      <w:tr>
        <w:trPr>
          <w:tblHeader w:val="true"/>
        </w:trPr>
        <w:tc>
          <w:tcPr>
            <w:tcW w:type="dxa" w:w="172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统计数据</w:t>
            </w:r>
          </w:p>
        </w:tc>
        <w:tc>
          <w:tcPr>
            <w:tcW w:type="dxa" w:w="2232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英文字段</w:t>
            </w:r>
          </w:p>
        </w:tc>
        <w:tc>
          <w:tcPr>
            <w:tcW w:type="dxa" w:w="216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建议技术字段</w:t>
            </w:r>
          </w:p>
        </w:tc>
        <w:tc>
          <w:tcPr>
            <w:tcW w:type="dxa" w:w="396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统计逻辑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穿仓补偿金额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Negative Balance Compensation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negative_balance_compensation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客户交易账户出现负余额且由公司承担的补偿金额。</w:t>
            </w:r>
          </w:p>
        </w:tc>
      </w:tr>
      <w:tr>
        <w:tc>
          <w:tcPr>
            <w:tcW w:type="dxa" w:w="172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红包金额</w:t>
            </w:r>
          </w:p>
        </w:tc>
        <w:tc>
          <w:tcPr>
            <w:tcW w:type="dxa" w:w="223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Red Packet Amount</w:t>
            </w:r>
          </w:p>
        </w:tc>
        <w:tc>
          <w:tcPr>
            <w:tcW w:type="dxa" w:w="21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red_packet_amount</w:t>
            </w:r>
          </w:p>
        </w:tc>
        <w:tc>
          <w:tcPr>
            <w:tcW w:type="dxa" w:w="39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公司实际承担的红包支出金额。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活动金额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Campaign Amount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campaign_amount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充值、营销及其他运营活动产生的支出金额。</w:t>
            </w:r>
          </w:p>
        </w:tc>
      </w:tr>
      <w:tr>
        <w:tc>
          <w:tcPr>
            <w:tcW w:type="dxa" w:w="172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客户补偿金额</w:t>
            </w:r>
          </w:p>
        </w:tc>
        <w:tc>
          <w:tcPr>
            <w:tcW w:type="dxa" w:w="223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Client Compensation</w:t>
            </w:r>
          </w:p>
        </w:tc>
        <w:tc>
          <w:tcPr>
            <w:tcW w:type="dxa" w:w="21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client_compensation</w:t>
            </w:r>
          </w:p>
        </w:tc>
        <w:tc>
          <w:tcPr>
            <w:tcW w:type="dxa" w:w="39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因投诉、异常或业务处理向客户发放的补偿金额。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异常入金金额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Abnormal Deposit Amount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abnormal_deposit_amount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经认定属于异常入金并需计入经营成本的金额。</w:t>
            </w:r>
          </w:p>
        </w:tc>
      </w:tr>
      <w:tr>
        <w:tc>
          <w:tcPr>
            <w:tcW w:type="dxa" w:w="172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代理商返佣金额</w:t>
            </w:r>
          </w:p>
        </w:tc>
        <w:tc>
          <w:tcPr>
            <w:tcW w:type="dxa" w:w="223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Agent Rebate</w:t>
            </w:r>
          </w:p>
        </w:tc>
        <w:tc>
          <w:tcPr>
            <w:tcW w:type="dxa" w:w="21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agent_rebate</w:t>
            </w:r>
          </w:p>
        </w:tc>
        <w:tc>
          <w:tcPr>
            <w:tcW w:type="dxa" w:w="39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统计月份内向代理商支付的返佣金额；不再区分个人代理商与企业代理商。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5"/>
              </w:rPr>
              <w:t>异常盈利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Abnormal Profit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5"/>
              </w:rPr>
              <w:t>abnormal_profit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5"/>
              </w:rPr>
              <w:t>因异常交易、价格、系统或其他情形认定并计入经营成本口径的异常盈利金额。</w:t>
            </w:r>
          </w:p>
        </w:tc>
      </w:tr>
    </w:tbl>
    <w:p>
      <w:pPr>
        <w:spacing w:after="20"/>
      </w:pP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2F6BFF"/>
              </w:rPr>
              <w:t>展示要求</w:t>
            </w:r>
          </w:p>
          <w:p>
            <w:pPr>
              <w:spacing w:after="0"/>
            </w:pPr>
            <w:r>
              <w:t>产品运营成本按公司视角统一展示为负数。损益表中的“Operational Cost / 产品运营成本”作为可点击分组：默认展开逐项明细，用户可收起或再次展开；不再重复展示“产品运营成本合计”行。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5.4 月度出入金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304"/>
        <w:gridCol w:w="5688"/>
      </w:tblGrid>
      <w:tr>
        <w:trPr>
          <w:tblHeader w:val="true"/>
        </w:trPr>
        <w:tc>
          <w:tcPr>
            <w:tcW w:type="dxa" w:w="208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30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英文字段</w:t>
            </w:r>
          </w:p>
        </w:tc>
        <w:tc>
          <w:tcPr>
            <w:tcW w:type="dxa" w:w="568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统计逻辑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月度入金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Monthly Deposit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统计月份内状态为成功的入金金额合计。</w:t>
            </w:r>
          </w:p>
        </w:tc>
      </w:tr>
      <w:tr>
        <w:tc>
          <w:tcPr>
            <w:tcW w:type="dxa" w:w="208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月度出金</w:t>
            </w:r>
          </w:p>
        </w:tc>
        <w:tc>
          <w:tcPr>
            <w:tcW w:type="dxa" w:w="230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Monthly Withdrawal</w:t>
            </w:r>
          </w:p>
        </w:tc>
        <w:tc>
          <w:tcPr>
            <w:tcW w:type="dxa" w:w="568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统计月份内状态为成功的出金金额合计。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月度净入金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Monthly Net Deposit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月度入金减去月度出金，可为负数。</w:t>
            </w:r>
          </w:p>
        </w:tc>
      </w:tr>
    </w:tbl>
    <w:p>
      <w:pPr>
        <w:spacing w:after="20"/>
      </w:pPr>
    </w:p>
    <w:p>
      <w:pPr>
        <w:spacing w:before="80" w:after="160"/>
        <w:jc w:val="center"/>
      </w:pPr>
      <w:r>
        <w:rPr>
          <w:rFonts w:ascii="黑体-简" w:hAnsi="黑体-简" w:eastAsia="黑体-简"/>
          <w:b/>
          <w:color w:val="2F6BFF"/>
          <w:sz w:val="20"/>
        </w:rPr>
        <w:t>月度净入金 = 月度入金 − 月度出金</w:t>
      </w:r>
    </w:p>
    <w:p>
      <w:pPr>
        <w:pStyle w:val="Heading2"/>
        <w:keepNext/>
      </w:pPr>
      <w:r>
        <w:t>5.5 毛利润及 A/B Book 明细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520"/>
        <w:gridCol w:w="5400"/>
      </w:tblGrid>
      <w:tr>
        <w:trPr>
          <w:tblHeader w:val="true"/>
        </w:trPr>
        <w:tc>
          <w:tcPr>
            <w:tcW w:type="dxa" w:w="216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52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英文字段</w:t>
            </w:r>
          </w:p>
        </w:tc>
        <w:tc>
          <w:tcPr>
            <w:tcW w:type="dxa" w:w="540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统计逻辑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毛利润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Gross Profit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公司净利润公式中扣除产品运营成本前的公司视角毛利润。</w:t>
            </w:r>
          </w:p>
        </w:tc>
      </w:tr>
      <w:tr>
        <w:tc>
          <w:tcPr>
            <w:tcW w:type="dxa" w:w="21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A Book 毛利润</w:t>
            </w:r>
          </w:p>
        </w:tc>
        <w:tc>
          <w:tcPr>
            <w:tcW w:type="dxa" w:w="252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A Book Gross Profit</w:t>
            </w:r>
          </w:p>
        </w:tc>
        <w:tc>
          <w:tcPr>
            <w:tcW w:type="dxa" w:w="540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毛利润中归属于 A Book 业务的公司视角金额。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B Book 毛利润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B Book Gross Profit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毛利润中归属于 B Book 业务的公司视角金额。</w:t>
            </w:r>
          </w:p>
        </w:tc>
      </w:tr>
      <w:tr>
        <w:tc>
          <w:tcPr>
            <w:tcW w:type="dxa" w:w="21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点差利润</w:t>
            </w:r>
          </w:p>
        </w:tc>
        <w:tc>
          <w:tcPr>
            <w:tcW w:type="dxa" w:w="252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Spread Profit</w:t>
            </w:r>
          </w:p>
        </w:tc>
        <w:tc>
          <w:tcPr>
            <w:tcW w:type="dxa" w:w="540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统计月份内由点差产生的利润，属于 Gross Profit 的组成项，重点单独展示但不得重复计入公司净利润。</w:t>
            </w:r>
          </w:p>
        </w:tc>
      </w:tr>
    </w:tbl>
    <w:p>
      <w:pPr>
        <w:spacing w:after="20"/>
      </w:pPr>
    </w:p>
    <w:p>
      <w:pPr>
        <w:spacing w:before="80" w:after="160"/>
        <w:jc w:val="center"/>
      </w:pPr>
      <w:r>
        <w:rPr>
          <w:rFonts w:ascii="黑体-简" w:hAnsi="黑体-简" w:eastAsia="黑体-简"/>
          <w:b/>
          <w:color w:val="2F6BFF"/>
          <w:sz w:val="20"/>
        </w:rPr>
        <w:t>Gross Profit / 毛利润 = A Book 毛利润 + B Book 毛利润 + 点差利润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2F6BFF"/>
              </w:rPr>
              <w:t>页面调整</w:t>
            </w:r>
          </w:p>
          <w:p>
            <w:pPr>
              <w:spacing w:after="0"/>
            </w:pPr>
            <w:r>
              <w:t>Gross Profit / 毛利润不属于公司净利润算式中的独立科目，因此从损益表中移除。在月度出入金上方新增“月度毛利润”卡片区，展示 Gross Profit 总额及 A Book、B Book、点差利润三个组成项。点差利润使用重点视觉样式，并明确标注已包含在 Gross Profit 中。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5.6 月度损益表展示规则</w:t>
      </w:r>
    </w:p>
    <w:p>
      <w:pPr>
        <w:pStyle w:val="ListBullet"/>
        <w:spacing w:after="60"/>
        <w:ind w:left="360" w:hanging="202"/>
      </w:pPr>
      <w:r>
        <w:t>页面上方明显位置提供“经营月份”选择器及刷新按钮。</w:t>
      </w:r>
    </w:p>
    <w:p>
      <w:pPr>
        <w:pStyle w:val="ListBullet"/>
        <w:spacing w:after="60"/>
        <w:ind w:left="360" w:hanging="202"/>
      </w:pPr>
      <w:r>
        <w:t>损益表仅保留一列所选月份的月度汇总；字段列与金额列保持紧凑，避免视觉距离过远。</w:t>
      </w:r>
    </w:p>
    <w:p>
      <w:pPr>
        <w:pStyle w:val="ListBullet"/>
        <w:spacing w:after="60"/>
        <w:ind w:left="360" w:hanging="202"/>
      </w:pPr>
      <w:r>
        <w:t>浮动盈亏行提供“显示/隐藏”操作。显示时加入公司净利润计算；隐藏时金额不参与任何利润计算。</w:t>
      </w:r>
    </w:p>
    <w:p>
      <w:pPr>
        <w:pStyle w:val="ListBullet"/>
        <w:spacing w:after="60"/>
        <w:ind w:left="360" w:hanging="202"/>
      </w:pPr>
      <w:r>
        <w:t>Operational Cost / 产品运营成本提供展开/收起操作；Gross Profit 及 A/B Book 毛利润移至损益表外的月度卡片区展示。</w:t>
      </w:r>
    </w:p>
    <w:p>
      <w:pPr>
        <w:pStyle w:val="ListBullet"/>
        <w:spacing w:after="60"/>
        <w:ind w:left="360" w:hanging="202"/>
      </w:pPr>
      <w:r>
        <w:t>保留科目层级和必要的明细缩进；移除重复或非首期科目：产品运营成本合计、其他经营费用、客户净资产参考、上层 LP 已结算资金明细。</w:t>
      </w:r>
    </w:p>
    <w:p>
      <w:pPr>
        <w:pStyle w:val="ListBullet"/>
        <w:spacing w:after="60"/>
        <w:ind w:left="360" w:hanging="202"/>
      </w:pPr>
      <w:r>
        <w:t>负数使用明确负号并以风险色辅助识别；所有金额保留两位小数并使用千分位。</w:t>
      </w:r>
    </w:p>
    <w:p>
      <w:pPr>
        <w:pStyle w:val="ListBullet"/>
        <w:spacing w:after="60"/>
        <w:ind w:left="360" w:hanging="202"/>
      </w:pPr>
      <w:r>
        <w:t>页面下方展示近 12 个月公司净利润与资金流趋势，悬浮时显示月份、系列名称和准确金额。</w:t>
      </w:r>
    </w:p>
    <w:p>
      <w:r>
        <w:br w:type="page"/>
      </w:r>
    </w:p>
    <w:p>
      <w:pPr>
        <w:pStyle w:val="Heading1"/>
        <w:keepNext/>
      </w:pPr>
      <w:r>
        <w:t>6. 页面与交互需求</w:t>
      </w:r>
    </w:p>
    <w:p>
      <w:pPr>
        <w:pStyle w:val="Heading2"/>
        <w:keepNext/>
      </w:pPr>
      <w:r>
        <w:t>6.1 基础数据二级页面</w:t>
      </w:r>
    </w:p>
    <w:p>
      <w:pPr>
        <w:pStyle w:val="ListBullet"/>
        <w:spacing w:after="60"/>
        <w:ind w:left="360" w:hanging="202"/>
      </w:pPr>
      <w:r>
        <w:t>页面头部显示页面名称、说明和实时/EOD 统计标识。</w:t>
      </w:r>
    </w:p>
    <w:p>
      <w:pPr>
        <w:pStyle w:val="ListBullet"/>
        <w:spacing w:after="60"/>
        <w:ind w:left="360" w:hanging="202"/>
      </w:pPr>
      <w:r>
        <w:t>一级页面可修改时间范围；修改后页面内所有指标卡片统一更新。</w:t>
      </w:r>
    </w:p>
    <w:p>
      <w:pPr>
        <w:pStyle w:val="ListBullet"/>
        <w:spacing w:after="60"/>
        <w:ind w:left="360" w:hanging="202"/>
      </w:pPr>
      <w:r>
        <w:t>每个统计指标独立使用一张卡片：指标名称、查询范围汇总值、单位、趋势图、环比信息及右上角详情入口。</w:t>
      </w:r>
    </w:p>
    <w:p>
      <w:pPr>
        <w:pStyle w:val="ListBullet"/>
        <w:spacing w:after="60"/>
        <w:ind w:left="360" w:hanging="202"/>
      </w:pPr>
      <w:r>
        <w:t>趋势图横轴展示具体日期，不使用“第 1 日、第 2 日”等相对文案。</w:t>
      </w:r>
    </w:p>
    <w:p>
      <w:pPr>
        <w:pStyle w:val="ListBullet"/>
        <w:spacing w:after="60"/>
        <w:ind w:left="360" w:hanging="202"/>
      </w:pPr>
      <w:r>
        <w:t>折线图节点和线条具有明显 hover 状态；悬浮提示显示日期、维度名称、当日数值及单位。</w:t>
      </w:r>
    </w:p>
    <w:p>
      <w:pPr>
        <w:pStyle w:val="ListBullet"/>
        <w:spacing w:after="60"/>
        <w:ind w:left="360" w:hanging="202"/>
      </w:pPr>
      <w:r>
        <w:t>用户点击图例可显示/隐藏对应曲线；图例选择状态在当前详情页内保留。</w:t>
      </w:r>
    </w:p>
    <w:p>
      <w:pPr>
        <w:pStyle w:val="Heading2"/>
        <w:keepNext/>
      </w:pPr>
      <w:r>
        <w:t>6.2 指标详情页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</w:trPr>
        <w:tc>
          <w:tcPr>
            <w:tcW w:type="dxa" w:w="208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7992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面包屑与返回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显示“一级菜单 / 二级页面 / 指标名称”，提供返回二级页面入口。</w:t>
            </w:r>
          </w:p>
        </w:tc>
      </w:tr>
      <w:tr>
        <w:tc>
          <w:tcPr>
            <w:tcW w:type="dxa" w:w="208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时间筛选</w:t>
            </w:r>
          </w:p>
        </w:tc>
        <w:tc>
          <w:tcPr>
            <w:tcW w:type="dxa" w:w="799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支持与二级页面相同的快捷时间和自定义时间；详情页可独立修改。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指标摘要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展示所选时间范围汇总值；资金快照指标展示范围内最后一天值。</w:t>
            </w:r>
          </w:p>
        </w:tc>
      </w:tr>
      <w:tr>
        <w:tc>
          <w:tcPr>
            <w:tcW w:type="dxa" w:w="208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主趋势图</w:t>
            </w:r>
          </w:p>
        </w:tc>
        <w:tc>
          <w:tcPr>
            <w:tcW w:type="dxa" w:w="799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展示每日趋势；支持悬浮提示、图例筛选、最大/最小值提示及平滑交互。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维度切换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使用紧凑的分段控件放置于图表标题栏右侧，不使用占位过大的独立面板。</w:t>
            </w:r>
          </w:p>
        </w:tc>
      </w:tr>
      <w:tr>
        <w:tc>
          <w:tcPr>
            <w:tcW w:type="dxa" w:w="208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辅助视图</w:t>
            </w:r>
          </w:p>
        </w:tc>
        <w:tc>
          <w:tcPr>
            <w:tcW w:type="dxa" w:w="799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使用排名、横向条形图、结构占比等视图补充主要趋势，避免与顶部汇总值重复。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刷新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刷新后保持当前指标、时间范围和维度选择，并更新查询时间。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图表交互规范</w:t>
      </w:r>
    </w:p>
    <w:p>
      <w:pPr>
        <w:pStyle w:val="ListBullet"/>
        <w:spacing w:after="60"/>
        <w:ind w:left="360" w:hanging="202"/>
      </w:pPr>
      <w:r>
        <w:t>Tooltip：鼠标进入图表显示十字准星或轴指示器；数值采用业务单位、千分位和金额精度格式化。</w:t>
      </w:r>
    </w:p>
    <w:p>
      <w:pPr>
        <w:pStyle w:val="ListBullet"/>
        <w:spacing w:after="60"/>
        <w:ind w:left="360" w:hanging="202"/>
      </w:pPr>
      <w:r>
        <w:t>Legend：支持点击筛选，品种较多时采用滚动图例；默认色彩应保证不同曲线可辨识。</w:t>
      </w:r>
    </w:p>
    <w:p>
      <w:pPr>
        <w:pStyle w:val="ListBullet"/>
        <w:spacing w:after="60"/>
        <w:ind w:left="360" w:hanging="202"/>
      </w:pPr>
      <w:r>
        <w:t>Axis：时间轴按实际日期展示；金额轴支持 K/M 等缩写，但 Tooltip 必须显示完整值。</w:t>
      </w:r>
    </w:p>
    <w:p>
      <w:pPr>
        <w:pStyle w:val="ListBullet"/>
        <w:spacing w:after="60"/>
        <w:ind w:left="360" w:hanging="202"/>
      </w:pPr>
      <w:r>
        <w:t>Data Zoom：当时间跨度或品种数量较大时支持缩放或横向浏览。</w:t>
      </w:r>
    </w:p>
    <w:p>
      <w:pPr>
        <w:pStyle w:val="ListBullet"/>
        <w:spacing w:after="60"/>
        <w:ind w:left="360" w:hanging="202"/>
      </w:pPr>
      <w:r>
        <w:t>Loading/Empty/Error：分别展示加载骨架、无数据状态及错误重试入口。</w:t>
      </w:r>
    </w:p>
    <w:p>
      <w:pPr>
        <w:pStyle w:val="ListBullet"/>
        <w:spacing w:after="60"/>
        <w:ind w:left="360" w:hanging="202"/>
      </w:pPr>
      <w:r>
        <w:t>Responsive：推荐桌面端使用；宽度不足时卡片自动换行，筛选控件不遮挡图表。</w:t>
      </w:r>
    </w:p>
    <w:p>
      <w:pPr>
        <w:pStyle w:val="Heading2"/>
        <w:keepNext/>
      </w:pPr>
      <w:r>
        <w:t>6.4 系统管理</w:t>
      </w:r>
    </w:p>
    <w:p>
      <w:r>
        <w:t>系统管理采用 RBAC（Role-Based Access Control，基于角色的访问控制）模型。账户不直接配置大量权限，而是关联一个或多个角色，由角色统一承载页面、数据指标和操作权限。首期暂不配置单独的数据范围权限。</w:t>
      </w:r>
    </w:p>
    <w:p>
      <w:pPr>
        <w:spacing w:before="80" w:after="160"/>
        <w:jc w:val="center"/>
      </w:pPr>
      <w:r>
        <w:rPr>
          <w:rFonts w:ascii="黑体-简" w:hAnsi="黑体-简" w:eastAsia="黑体-简"/>
          <w:b/>
          <w:color w:val="2F6BFF"/>
          <w:sz w:val="20"/>
        </w:rPr>
        <w:t>账户 → 关联角色 → 获得页面权限 + 数据指标权限 + 操作权限</w:t>
      </w:r>
    </w:p>
    <w:p>
      <w:pPr>
        <w:pStyle w:val="Heading3"/>
        <w:keepNext/>
      </w:pPr>
      <w:r>
        <w:t>6.4.1 账户管理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tblHeader w:val="true"/>
        </w:trPr>
        <w:tc>
          <w:tcPr>
            <w:tcW w:type="dxa" w:w="194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8136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需求说明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账户列表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展示姓名、用户名、邮箱、所属部门、角色、状态、最近登录时间及操作入口；支持关键词和状态筛选。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创建账户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录入姓名、唯一用户名、企业邮箱、所属部门、角色、账户状态和备注；系统自动生成初始密码，创建成功后仅展示一次。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编辑账户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允许修改姓名、邮箱、部门、角色、状态、备注，并可设置新密码；用户名创建后不可修改。不修改密码时密码字段留空。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启用/停用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停用后账户立即失去登录和访问权限；历史查询及审计记录保留，不进行物理删除。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修改本人密码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右上角账户菜单提供修改密码入口；用户输入当前密码、新密码和确认新密码，校验成功后更新密码。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退出登录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右上角账户菜单提供退出登录入口；二次确认后清除登录会话并返回登录页。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批量操作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后续可支持批量停用和批量分配角色；首期不要求。</w:t>
            </w:r>
          </w:p>
        </w:tc>
      </w:tr>
    </w:tbl>
    <w:p>
      <w:pPr>
        <w:spacing w:after="20"/>
      </w:pP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080"/>
        <w:gridCol w:w="7056"/>
      </w:tblGrid>
      <w:tr>
        <w:trPr>
          <w:tblHeader w:val="true"/>
        </w:trPr>
        <w:tc>
          <w:tcPr>
            <w:tcW w:type="dxa" w:w="194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08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7056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校验与规则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姓名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用于系统内显示，长度 1—50 个字符。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用户名</w:t>
            </w:r>
          </w:p>
        </w:tc>
        <w:tc>
          <w:tcPr>
            <w:tcW w:type="dxa" w:w="108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type="dxa" w:w="705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系统内唯一；建议仅允许字母、数字、点、下划线和短横线；创建后不可重复。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邮箱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符合企业邮箱格式；用于通知或登录身份绑定。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所属部门</w:t>
            </w:r>
          </w:p>
        </w:tc>
        <w:tc>
          <w:tcPr>
            <w:tcW w:type="dxa" w:w="108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type="dxa" w:w="705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由管理员自由填写，不使用系统内置部门枚举；建议限制长度为 1—50 个字符。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角色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至少分配一个启用角色；不得分配已停用角色。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账户状态</w:t>
            </w:r>
          </w:p>
        </w:tc>
        <w:tc>
          <w:tcPr>
            <w:tcW w:type="dxa" w:w="108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type="dxa" w:w="705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启用 / 停用；新建账户默认启用。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初始密码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创建时是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至少 8 位；应符合系统密码复杂度要求，与确认密码一致；服务端仅保存加密摘要，不保存或回显明文。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新密码</w:t>
            </w:r>
          </w:p>
        </w:tc>
        <w:tc>
          <w:tcPr>
            <w:tcW w:type="dxa" w:w="108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编辑时否</w:t>
            </w:r>
          </w:p>
        </w:tc>
        <w:tc>
          <w:tcPr>
            <w:tcW w:type="dxa" w:w="705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需要修改密码时填写；至少 8 位并二次确认，不填写表示保持原密码。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备注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记录创建原因、职责范围或其他说明，建议不超过 500 字。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6.4.2 角色管理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tblHeader w:val="true"/>
        </w:trPr>
        <w:tc>
          <w:tcPr>
            <w:tcW w:type="dxa" w:w="194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8136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需求说明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角色列表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统一以列表展示角色名称、说明、关联账户数、状态和操作入口；不展示角色编码和“已配置权限”字段；支持按名称和状态筛选。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创建角色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录入角色名称和职责说明；创建后进入权限配置页。内部标识由系统自动生成，不对用户展示。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编辑角色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允许修改角色名称与说明；内部角色标识不展示。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停用角色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存在关联启用账户时应阻止直接停用，或要求先迁移关联账户。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删除角色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首期不做物理删除；使用停用方式保留历史授权和审计信息。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系统角色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超级管理员等系统内置角色可限制删除和停用；至少保留一个启用的超级管理员账户。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6.4.3 权限管理</w:t>
      </w:r>
    </w:p>
    <w:p>
      <w:r>
        <w:t>权限不采用简单的“菜单可见/不可见”平铺结构，而是围绕页面统一组织查看权限和操作权限。业务指标决定可查看的数据，导出、录入、修改等行为均作为页面操作，配置在对应页面下。</w:t>
      </w:r>
    </w:p>
    <w:p>
      <w:pPr>
        <w:spacing w:before="80" w:after="160"/>
        <w:jc w:val="center"/>
      </w:pPr>
      <w:r>
        <w:rPr>
          <w:rFonts w:ascii="黑体-简" w:hAnsi="黑体-简" w:eastAsia="黑体-简"/>
          <w:b/>
          <w:color w:val="2F6BFF"/>
          <w:sz w:val="20"/>
        </w:rPr>
        <w:t>业务权限：业务模块 → 二级页面 → 数据指标查看 / 页面操作</w:t>
      </w:r>
    </w:p>
    <w:p>
      <w:pPr>
        <w:spacing w:before="80" w:after="160"/>
        <w:jc w:val="center"/>
      </w:pPr>
      <w:r>
        <w:rPr>
          <w:rFonts w:ascii="黑体-简" w:hAnsi="黑体-简" w:eastAsia="黑体-简"/>
          <w:b/>
          <w:color w:val="2F6BFF"/>
          <w:sz w:val="20"/>
        </w:rPr>
        <w:t>系统管理：系统管理 → 管理页面 → 查看页面 / 页面内操作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3960"/>
      </w:tblGrid>
      <w:tr>
        <w:trPr>
          <w:tblHeader w:val="true"/>
        </w:trPr>
        <w:tc>
          <w:tcPr>
            <w:tcW w:type="dxa" w:w="180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权限层级</w:t>
            </w:r>
          </w:p>
        </w:tc>
        <w:tc>
          <w:tcPr>
            <w:tcW w:type="dxa" w:w="432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96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一级业务模块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基础数据、财务数据。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用于权限树分组；勾选父级可批量设置下级，但最终授权记录落实至指标。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二级页面</w:t>
            </w:r>
          </w:p>
        </w:tc>
        <w:tc>
          <w:tcPr>
            <w:tcW w:type="dxa" w:w="432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用户数据、出入金数据、交易数据、资金数据、经营数据。</w:t>
            </w:r>
          </w:p>
        </w:tc>
        <w:tc>
          <w:tcPr>
            <w:tcW w:type="dxa" w:w="39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页面是否在菜单中显示，由其下是否至少存在一个可查看指标自动决定。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三级数据指标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注册用户数、KYC 用户数、入金金额、开仓订单数、Balance、月度损益表等。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每个指标分别配置查看权限；后端接口使用指标编码进行校验。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页面操作</w:t>
            </w:r>
          </w:p>
        </w:tc>
        <w:tc>
          <w:tcPr>
            <w:tcW w:type="dxa" w:w="432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导出经营数据、录入/修改上层清算盈亏等。</w:t>
            </w:r>
          </w:p>
        </w:tc>
        <w:tc>
          <w:tcPr>
            <w:tcW w:type="dxa" w:w="39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统一配置在所属页面的“操作”列，不再设置独立导出列或单独的经营数据操作区。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系统管理页面及操作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账户管理、角色管理、权限管理及各页面内操作。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先授权页面查看，再授权页面内具体操作；页面按钮和接口均需校验。</w:t>
            </w:r>
          </w:p>
        </w:tc>
      </w:tr>
    </w:tbl>
    <w:p>
      <w:pPr>
        <w:spacing w:after="20"/>
      </w:pP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8063"/>
      </w:tblGrid>
      <w:tr>
        <w:trPr>
          <w:tblHeader w:val="true"/>
        </w:trPr>
        <w:tc>
          <w:tcPr>
            <w:tcW w:type="dxa" w:w="2015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二级页面</w:t>
            </w:r>
          </w:p>
        </w:tc>
        <w:tc>
          <w:tcPr>
            <w:tcW w:type="dxa" w:w="8063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需独立授权的数据指标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用户数据</w:t>
            </w:r>
          </w:p>
        </w:tc>
        <w:tc>
          <w:tcPr>
            <w:tcW w:type="dxa" w:w="80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注册用户数、KYC 用户数、开户用户数、首次入金用户数、交易用户数</w:t>
            </w:r>
          </w:p>
        </w:tc>
      </w:tr>
      <w:tr>
        <w:tc>
          <w:tcPr>
            <w:tcW w:type="dxa" w:w="201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出入金数据</w:t>
            </w:r>
          </w:p>
        </w:tc>
        <w:tc>
          <w:tcPr>
            <w:tcW w:type="dxa" w:w="8063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入金用户数、入金金额、出金金额、净入金金额、已申请出金金额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交易数据</w:t>
            </w:r>
          </w:p>
        </w:tc>
        <w:tc>
          <w:tcPr>
            <w:tcW w:type="dxa" w:w="80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开仓订单数、开仓交易账户数、开仓交易手数</w:t>
            </w:r>
          </w:p>
        </w:tc>
      </w:tr>
      <w:tr>
        <w:tc>
          <w:tcPr>
            <w:tcW w:type="dxa" w:w="201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资金数据</w:t>
            </w:r>
          </w:p>
        </w:tc>
        <w:tc>
          <w:tcPr>
            <w:tcW w:type="dxa" w:w="8063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Trading Account Balance、Trading Account Equity、Funding Balance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经营数据</w:t>
            </w:r>
          </w:p>
        </w:tc>
        <w:tc>
          <w:tcPr>
            <w:tcW w:type="dxa" w:w="80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损益表、月度出入金、近 12 个月数据；产品运营成本及 A/B Book 毛利润属于损益表内部内容，不单独授权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60" w:hanging="202"/>
      </w:pPr>
      <w:r>
        <w:t>权限以角色为单位配置；保存后对该角色下全部账户立即生效。</w:t>
      </w:r>
    </w:p>
    <w:p>
      <w:pPr>
        <w:pStyle w:val="ListBullet"/>
        <w:spacing w:after="60"/>
        <w:ind w:left="360" w:hanging="202"/>
      </w:pPr>
      <w:r>
        <w:t>支持按业务模块、二级页面批量勾选，也支持逐个数据指标授权；父级、页面与指标复选框必须实时双向联动。取消一级模块时，其下页面和指标全部取消；部分子项选中时，父级显示半选状态。</w:t>
      </w:r>
    </w:p>
    <w:p>
      <w:pPr>
        <w:pStyle w:val="ListBullet"/>
        <w:spacing w:after="60"/>
        <w:ind w:left="360" w:hanging="202"/>
      </w:pPr>
      <w:r>
        <w:t>权限树固定使用“查看 / 操作”两列。基础数据首期没有页面操作，对应操作列显示“—”。</w:t>
      </w:r>
    </w:p>
    <w:p>
      <w:pPr>
        <w:pStyle w:val="ListBullet"/>
        <w:spacing w:after="60"/>
        <w:ind w:left="360" w:hanging="202"/>
      </w:pPr>
      <w:r>
        <w:t>经营数据仅区分三个查看模块：损益表、月度出入金、近 12 个月数据。</w:t>
      </w:r>
    </w:p>
    <w:p>
      <w:pPr>
        <w:pStyle w:val="ListBullet"/>
        <w:spacing w:after="60"/>
        <w:ind w:left="360" w:hanging="202"/>
      </w:pPr>
      <w:r>
        <w:t>损益表包含产品运营成本、毛利润及 A/B Book 明细等内部科目，不再为这些内部内容单独配置权限。</w:t>
      </w:r>
    </w:p>
    <w:p>
      <w:pPr>
        <w:pStyle w:val="ListBullet"/>
        <w:spacing w:after="60"/>
        <w:ind w:left="360" w:hanging="202"/>
      </w:pPr>
      <w:r>
        <w:t>经营数据首期仅设置一项页面操作：录入/修改上层清算盈亏；该操作归属于损益表。</w:t>
      </w:r>
    </w:p>
    <w:p>
      <w:pPr>
        <w:pStyle w:val="ListBullet"/>
        <w:spacing w:after="60"/>
        <w:ind w:left="360" w:hanging="202"/>
      </w:pPr>
      <w:r>
        <w:t>勾选页面操作权限时，系统自动确保该页面至少具有一个可查看指标；取消页面全部查看权限时，应提示或同步取消页面操作权限。</w:t>
      </w:r>
    </w:p>
    <w:p>
      <w:pPr>
        <w:pStyle w:val="ListBullet"/>
        <w:spacing w:after="60"/>
        <w:ind w:left="360" w:hanging="202"/>
      </w:pPr>
      <w:r>
        <w:t>当某二级页面下不存在任何可查看指标时，该页面及其一级菜单入口不向该角色展示。</w:t>
      </w:r>
    </w:p>
    <w:p>
      <w:pPr>
        <w:pStyle w:val="ListBullet"/>
        <w:spacing w:after="60"/>
        <w:ind w:left="360" w:hanging="202"/>
      </w:pPr>
      <w:r>
        <w:t>首期权限管理页面不展示“数据范围”选项，也不保存全部、部门或自定义范围等权限值；后续有明确业务应用场景时再单独评审。</w:t>
      </w:r>
    </w:p>
    <w:p>
      <w:pPr>
        <w:pStyle w:val="ListBullet"/>
        <w:spacing w:after="60"/>
        <w:ind w:left="360" w:hanging="202"/>
      </w:pPr>
      <w:r>
        <w:t>权限页面显示已授权指标数量、可用页面操作数量及关联账户数量。</w:t>
      </w:r>
    </w:p>
    <w:p>
      <w:pPr>
        <w:pStyle w:val="ListBullet"/>
        <w:spacing w:after="60"/>
        <w:ind w:left="360" w:hanging="202"/>
      </w:pPr>
      <w:r>
        <w:t>修改权限前应提示影响的账户数量；保存后记录操作人、操作时间及变更前后差异。</w:t>
      </w:r>
    </w:p>
    <w:p>
      <w:pPr>
        <w:pStyle w:val="ListBullet"/>
        <w:spacing w:after="60"/>
        <w:ind w:left="360" w:hanging="202"/>
      </w:pPr>
      <w:r>
        <w:t>禁止普通管理员提升自身权限或修改高于自身管理级别的角色。</w:t>
      </w:r>
    </w:p>
    <w:p>
      <w:pPr>
        <w:pStyle w:val="ListBullet"/>
        <w:spacing w:after="60"/>
        <w:ind w:left="360" w:hanging="202"/>
      </w:pPr>
      <w:r>
        <w:t>超级管理员必须保留账户、角色和权限管理能力；系统至少保留 1 个启用的超级管理员账户。</w:t>
      </w:r>
    </w:p>
    <w:p>
      <w:pPr>
        <w:pStyle w:val="ListBullet"/>
        <w:spacing w:after="60"/>
        <w:ind w:left="360" w:hanging="202"/>
      </w:pPr>
      <w:r>
        <w:t>同一账户关联多个角色时，首期建议采用权限并集；如后续引入拒绝权限，拒绝规则优先级需单独评审。</w:t>
      </w:r>
    </w:p>
    <w:p>
      <w:pPr>
        <w:pStyle w:val="Heading4"/>
        <w:keepNext/>
      </w:pPr>
      <w:r>
        <w:t>6.4.3.1 系统管理权限结构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4896"/>
      </w:tblGrid>
      <w:tr>
        <w:trPr>
          <w:tblHeader w:val="true"/>
        </w:trPr>
        <w:tc>
          <w:tcPr>
            <w:tcW w:type="dxa" w:w="208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管理页面</w:t>
            </w:r>
          </w:p>
        </w:tc>
        <w:tc>
          <w:tcPr>
            <w:tcW w:type="dxa" w:w="3096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页面权限</w:t>
            </w:r>
          </w:p>
        </w:tc>
        <w:tc>
          <w:tcPr>
            <w:tcW w:type="dxa" w:w="4896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页面内操作权限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账户管理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查看账户管理页面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创建账户、编辑账户、启用/停用账户</w:t>
            </w:r>
          </w:p>
        </w:tc>
      </w:tr>
      <w:tr>
        <w:tc>
          <w:tcPr>
            <w:tcW w:type="dxa" w:w="2088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角色管理</w:t>
            </w:r>
          </w:p>
        </w:tc>
        <w:tc>
          <w:tcPr>
            <w:tcW w:type="dxa" w:w="309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查看角色管理页面</w:t>
            </w:r>
          </w:p>
        </w:tc>
        <w:tc>
          <w:tcPr>
            <w:tcW w:type="dxa" w:w="489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创建角色、编辑/停用角色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权限管理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查看权限管理页面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修改并保存权限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60" w:hanging="202"/>
      </w:pPr>
      <w:r>
        <w:t>系统管理权限树与业务权限树采用一致的父子层级和半选交互：系统管理 → 管理页面 → 页面内操作。</w:t>
      </w:r>
    </w:p>
    <w:p>
      <w:pPr>
        <w:pStyle w:val="ListBullet"/>
        <w:spacing w:after="60"/>
        <w:ind w:left="360" w:hanging="202"/>
      </w:pPr>
      <w:r>
        <w:t>具备页面内任一操作权限时，系统必须自动授予对应页面的查看权限；取消页面查看权限时，其下全部操作权限同步取消。</w:t>
      </w:r>
    </w:p>
    <w:p>
      <w:pPr>
        <w:pStyle w:val="ListBullet"/>
        <w:spacing w:after="60"/>
        <w:ind w:left="360" w:hanging="202"/>
      </w:pPr>
      <w:r>
        <w:t>只具备页面查看权限的角色可进入页面并查看数据，但创建、编辑、停用、保存等按钮不展示或不可用，接口调用同样应被拒绝。</w:t>
      </w:r>
    </w:p>
    <w:p>
      <w:pPr>
        <w:pStyle w:val="Heading4"/>
        <w:keepNext/>
      </w:pPr>
      <w:r>
        <w:t>6.4.3.2 经营数据页面操作权限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2880"/>
        <w:gridCol w:w="3744"/>
      </w:tblGrid>
      <w:tr>
        <w:trPr>
          <w:tblHeader w:val="true"/>
        </w:trPr>
        <w:tc>
          <w:tcPr>
            <w:tcW w:type="dxa" w:w="172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28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288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操作权限</w:t>
            </w:r>
          </w:p>
        </w:tc>
        <w:tc>
          <w:tcPr>
            <w:tcW w:type="dxa" w:w="374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财务数据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经营数据 / 损益表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sz w:val="16"/>
              </w:rPr>
              <w:t>录入/修改上层清算盈亏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作为损益表操作配置；无权限时不展示录入或修改按钮，直接调用保存接口必须拒绝。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60" w:hanging="202"/>
      </w:pPr>
      <w:r>
        <w:t>超级管理员和财务管理员默认拥有该操作权限；其他角色需由有权管理员单独授权。</w:t>
      </w:r>
    </w:p>
    <w:p>
      <w:pPr>
        <w:pStyle w:val="ListBullet"/>
        <w:spacing w:after="60"/>
        <w:ind w:left="360" w:hanging="202"/>
      </w:pPr>
      <w:r>
        <w:t>录入和修改使用同一权限编码 operations.settlement.edit；所有操作必须写入审计日志。</w:t>
      </w:r>
    </w:p>
    <w:p>
      <w:pPr>
        <w:pStyle w:val="Heading3"/>
        <w:keepNext/>
      </w:pPr>
      <w:r>
        <w:t>6.4.4 默认角色建议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 w:val="true"/>
        </w:trPr>
        <w:tc>
          <w:tcPr>
            <w:tcW w:type="dxa" w:w="216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792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默认授权范围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超级管理员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全部菜单、全部数据和全部操作权限。</w:t>
            </w:r>
          </w:p>
        </w:tc>
      </w:tr>
      <w:tr>
        <w:tc>
          <w:tcPr>
            <w:tcW w:type="dxa" w:w="21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财务管理员</w:t>
            </w:r>
          </w:p>
        </w:tc>
        <w:tc>
          <w:tcPr>
            <w:tcW w:type="dxa" w:w="792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基础数据、资金数据和经营数据；可查看财务敏感数据并按授权导出。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数据分析员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基础数据及指标详情；不包含账户、角色、权限管理和经营敏感数据。</w:t>
            </w:r>
          </w:p>
        </w:tc>
      </w:tr>
      <w:tr>
        <w:tc>
          <w:tcPr>
            <w:tcW w:type="dxa" w:w="216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合规查看员</w:t>
            </w:r>
          </w:p>
        </w:tc>
        <w:tc>
          <w:tcPr>
            <w:tcW w:type="dxa" w:w="792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合规工作所需统计页面的只读权限；不具备系统配置和导出权限。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权限与数据安全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tblHeader w:val="true"/>
        </w:trPr>
        <w:tc>
          <w:tcPr>
            <w:tcW w:type="dxa" w:w="194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8136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系统登录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BI 系统独立鉴权；仅授权员工可访问。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菜单权限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菜单由指标查看权限自动推导：二级页面至少存在一个可查看指标时才显示，一级菜单至少存在一个可见二级页面时才显示。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指标权限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权限细化到每个统计指标；数据接口必须按指标编码校验，不允许仅依赖页面隐藏。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页面操作权限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录入和修改等行为统一挂在所属页面或模块下授权；经营数据首期仅开放损益表的清算盈亏录入/修改权限。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审计日志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记录登录、查询、筛选、查看经营数据、导出及配置变更。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敏感信息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页面仅展示统计结果，不展示手机号、邮箱、证件号、姓名等客户明细信息。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白名单维护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白名单配置仅限授权管理员维护，变更需记录操作人、时间和原因。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非功能需求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tblHeader w:val="true"/>
        </w:trPr>
        <w:tc>
          <w:tcPr>
            <w:tcW w:type="dxa" w:w="180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8280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性能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普通二级页面首屏目标 ≤ 3 秒；筛选响应目标 ≤ 5 秒。具体阈值需结合数据量和技术方案评审。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准确性</w:t>
            </w:r>
          </w:p>
        </w:tc>
        <w:tc>
          <w:tcPr>
            <w:tcW w:type="dxa" w:w="828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关键财务指标必须支持与源系统或对账结果核验；不得以前端模拟值替代正式数据。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可用性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接口失败时提供明确错误提示和重试；部分指标失败不得导致整页不可用。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一致性</w:t>
            </w:r>
          </w:p>
        </w:tc>
        <w:tc>
          <w:tcPr>
            <w:tcW w:type="dxa" w:w="828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同一指标在卡片、详情、图表、排名与导出中的口径和筛选条件必须一致。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兼容性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优先支持最新两个主要版本的 Chrome/Edge；推荐分辨率 1440×900 及以上。</w:t>
            </w:r>
          </w:p>
        </w:tc>
      </w:tr>
      <w:tr>
        <w:tc>
          <w:tcPr>
            <w:tcW w:type="dxa" w:w="180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可维护性</w:t>
            </w:r>
          </w:p>
        </w:tc>
        <w:tc>
          <w:tcPr>
            <w:tcW w:type="dxa" w:w="8280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指标英文名、技术字段、单位、精度、口径版本和责任人应纳入指标字典维护。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数据追溯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经营数据的月度修订需可追溯；基础数据至少保留查询时间和数据更新时间。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数据接口与字段约定</w:t>
      </w:r>
    </w:p>
    <w:p>
      <w:r>
        <w:t>以下为产品层建议，最终字段名、接口结构与枚举值由数据及研发团队在技术评审中确认。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655"/>
        <w:gridCol w:w="6192"/>
      </w:tblGrid>
      <w:tr>
        <w:trPr>
          <w:tblHeader w:val="true"/>
        </w:trPr>
        <w:tc>
          <w:tcPr>
            <w:tcW w:type="dxa" w:w="2232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655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192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start_time / end_time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查询起止时间；明确含头不含尾规则。</w:t>
            </w:r>
          </w:p>
        </w:tc>
      </w:tr>
      <w:tr>
        <w:tc>
          <w:tcPr>
            <w:tcW w:type="dxa" w:w="223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timezone</w:t>
            </w:r>
          </w:p>
        </w:tc>
        <w:tc>
          <w:tcPr>
            <w:tcW w:type="dxa" w:w="165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type="dxa" w:w="619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统计时区，默认服务器时区。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metric_code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指标唯一编码。</w:t>
            </w:r>
          </w:p>
        </w:tc>
      </w:tr>
      <w:tr>
        <w:tc>
          <w:tcPr>
            <w:tcW w:type="dxa" w:w="223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dimension_type</w:t>
            </w:r>
          </w:p>
        </w:tc>
        <w:tc>
          <w:tcPr>
            <w:tcW w:type="dxa" w:w="165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type="dxa" w:w="619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维度类型，如 registration_method、kyc_level、category、symbol。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dimension_value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具体维度值。</w:t>
            </w:r>
          </w:p>
        </w:tc>
      </w:tr>
      <w:tr>
        <w:tc>
          <w:tcPr>
            <w:tcW w:type="dxa" w:w="223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165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date</w:t>
            </w:r>
          </w:p>
        </w:tc>
        <w:tc>
          <w:tcPr>
            <w:tcW w:type="dxa" w:w="619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每日趋势统计日期。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value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number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指标值。</w:t>
            </w:r>
          </w:p>
        </w:tc>
      </w:tr>
      <w:tr>
        <w:tc>
          <w:tcPr>
            <w:tcW w:type="dxa" w:w="223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currency</w:t>
            </w:r>
          </w:p>
        </w:tc>
        <w:tc>
          <w:tcPr>
            <w:tcW w:type="dxa" w:w="165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type="dxa" w:w="619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原币种或展示币种。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usd_equivalent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decimal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折算后的 USD 金额。</w:t>
            </w:r>
          </w:p>
        </w:tc>
      </w:tr>
      <w:tr>
        <w:tc>
          <w:tcPr>
            <w:tcW w:type="dxa" w:w="223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updated_at</w:t>
            </w:r>
          </w:p>
        </w:tc>
        <w:tc>
          <w:tcPr>
            <w:tcW w:type="dxa" w:w="1655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6192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本次查询数据更新时间。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6"/>
              </w:rPr>
              <w:t>is_eod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boolean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6"/>
              </w:rPr>
              <w:t>是否为 EOD 快照数据。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验收标准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tblHeader w:val="true"/>
        </w:trPr>
        <w:tc>
          <w:tcPr>
            <w:tcW w:type="dxa" w:w="1944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8136"/>
            <w:shd w:fill="2F6BFF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验收条件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默认页面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登录成功后默认进入“基础数据 / 用户数据”，系统中不展示首页工作台入口。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账户创建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必填字段校验、用户名唯一性、角色分配及创建成功反馈均正确。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账户停用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停用后账户无法继续登录；历史审计记录和业务操作记录仍可追溯。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角色列表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角色以列表展示，可查看编码、说明、关联账户数、状态和操作，不展示“已配置权限”字段。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创建账户密码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创建账户必须填写初始密码及确认密码；两次密码不一致或不符合规则时无法提交。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编辑账户密码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编辑账户可填写并确认新密码；留空时保持原密码，用户名不可修改。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账户菜单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右上角账户入口可修改本人密码并退出登录；退出前二次确认，退出后会话失效。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角色创建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角色名称、唯一编码和职责说明可保存；新角色可进入权限配置。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三级权限树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可按业务模块、二级页面和数据指标逐级配置查看权限，并在所属页面下配置具体操作权限。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查看与操作列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权限树展示“查看 / 操作”两列；基础数据无页面操作时显示“—”，不再出现独立导出列。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父子联动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取消基础数据一级模块后，其下所有页面和指标同步取消；重新选择子项时页面与模块父级实时更新，部分选择显示半选状态。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系统管理权限树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按系统管理、账户/角色/权限管理页面、页面内操作三级展示；操作权限依赖对应页面查看权限。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菜单推导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页面无任何可查看指标时菜单不展示；恢复任一指标查看权限后菜单重新可见。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操作依赖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页面具有导出、录入或修改等操作权限时，必须同时具备该页面的查看权限。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数据范围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权限管理页面不展示数据范围选项，保存权限时不产生数据范围权限记录。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权限保存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保存后对角色关联账户生效，且变更前后内容可审计。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越权防护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无权限菜单不可见，直接访问页面或接口时同样被拒绝。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管理员保护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系统始终至少保留 1 个启用的超级管理员账户，禁止误停用全部管理员。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导航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基础数据无独立总览页；四个二级页面可正常访问；财务数据下展示经营数据。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默认范围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首次进入基础数据二级页面默认近 30 天，显示准确起止日期。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刷新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页面加载和点击刷新均更新数据与更新时间，不改变当前页面和筛选状态。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白名单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抽样白名单 UID 及其全部 Account Number 均未计入基础指标。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用户去重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同一 UID 在同一用户类指标范围内只统计一次。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KYC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Lv1/Lv2/Lv3 筛选结果正确；用户升级不重复增加 KYC 完成总人数。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交易维度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按品类/按品种切换正确；Top10/20/30/All 依据当前指标排序。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资金快照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Balance/Equity/Funding 顶部值等于范围内最后一天 EOD 值，不是每日求和。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图表交互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Tooltip、图例筛选、日期、单位及缩放行为符合规范，无明显遮挡。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经营月份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选择月份后损益表、月度资金流、毛利润及趋势同步更新。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公司视角利润公式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上层清算盈亏、客户平仓盈亏、浮动盈亏、股票分红和产品运营成本均按公司视角带符号展示并直接相加，页面结果与后端计算结果一致。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上层清算盈亏录入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未录入月份展示并按 0 计算；录入后按实际金额重新计算；再次修改可正确回显并覆盖原值，变更记录可审计。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浮动盈亏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显示时加入利润计算；隐藏时不参与毛利润和净利润计算。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拟真符号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客户平仓和浮动盈亏通常按公司视角展示为正数，运营成本为负数，股票分红可随月份表现为正数或负数。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成本明细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产品运营成本可展开/收起；展开后穿仓补偿金额、红包金额、活动金额、客户补偿金额、异常入金金额、代理商返佣金额、异常盈利七项逐项可见。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经营数据权限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仅展示损益表、月度出入金、近 12 个月数据三个查看模块；损益表操作列仅配置“录入/修改上层清算盈亏”。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毛利润展示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损益表中不展示 Gross Profit 行；月度出入金上方以卡片展示 Gross Profit、A Book、B Book 和点差利润，三个组成项之和等于 Gross Profit，点差利润不得重复计入。</w:t>
            </w:r>
          </w:p>
        </w:tc>
      </w:tr>
      <w:tr>
        <w:tc>
          <w:tcPr>
            <w:tcW w:type="dxa" w:w="1944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sz w:val="17"/>
              </w:rPr>
              <w:t>权限</w:t>
            </w:r>
          </w:p>
        </w:tc>
        <w:tc>
          <w:tcPr>
            <w:tcW w:type="dxa" w:w="8136"/>
            <w:shd w:fill="F8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sz w:val="17"/>
              </w:rPr>
              <w:t>未授权角色无法访问对应菜单和数据；关键访问行为有审计记录。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待确认事项</w:t>
      </w:r>
    </w:p>
    <w:p>
      <w:pPr>
        <w:pStyle w:val="ListBullet"/>
        <w:spacing w:after="60"/>
        <w:ind w:left="360" w:hanging="202"/>
      </w:pPr>
      <w:r>
        <w:t>Phone 注册在正式页面中的中文名称是否统一为“手机号注册”（用户原稿中的 Iphone 建议更正为 Phone）。</w:t>
      </w:r>
    </w:p>
    <w:p>
      <w:pPr>
        <w:pStyle w:val="ListBullet"/>
        <w:spacing w:after="60"/>
        <w:ind w:left="360" w:hanging="202"/>
      </w:pPr>
      <w:r>
        <w:t>所有金额折算为 USD equivalent 时使用的汇率来源、汇率时点及历史汇率修订规则。</w:t>
      </w:r>
    </w:p>
    <w:p>
      <w:pPr>
        <w:pStyle w:val="ListBullet"/>
        <w:spacing w:after="60"/>
        <w:ind w:left="360" w:hanging="202"/>
      </w:pPr>
      <w:r>
        <w:t>异常盈利和异常入金的业务认定标准、数据来源及公司视角符号规则。</w:t>
      </w:r>
    </w:p>
    <w:p>
      <w:pPr>
        <w:pStyle w:val="ListBullet"/>
        <w:spacing w:after="60"/>
        <w:ind w:left="360" w:hanging="202"/>
      </w:pPr>
      <w:r>
        <w:t>上层 LP 月度结算资金是否仅展示总额，是否需要保留 LP 维度明细供后续版本查看。</w:t>
      </w:r>
    </w:p>
    <w:p>
      <w:pPr>
        <w:pStyle w:val="ListBullet"/>
        <w:spacing w:after="60"/>
        <w:ind w:left="360" w:hanging="202"/>
      </w:pPr>
      <w:r>
        <w:t>基础数据允许查询的最大时间跨度及 All 品种场景的性能上限。</w:t>
      </w:r>
    </w:p>
    <w:p>
      <w:pPr>
        <w:pStyle w:val="ListBullet"/>
        <w:spacing w:after="60"/>
        <w:ind w:left="360" w:hanging="202"/>
      </w:pPr>
      <w:r>
        <w:t>定制报表、文件导出、订阅推送及对账功能是否纳入下一期。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黑体-简" w:hAnsi="黑体-简"/>
        <w:color w:val="98A2B3"/>
        <w:sz w:val="16"/>
      </w:rPr>
      <w:t>Cheer Trade Internal  |  Confidential  |  V1.3.9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-简" w:hAnsi="黑体-简"/>
        <w:b/>
        <w:color w:val="98A2B3"/>
        <w:sz w:val="15"/>
      </w:rPr>
      <w:t>CHEER TRADE  ·  BI SYSTEM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黑体-简" w:hAnsi="黑体-简" w:eastAsia="黑体-简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黑体-简" w:hAnsi="黑体-简" w:eastAsia="黑体-简"/>
      <w:b/>
      <w:bCs/>
      <w:color w:val="2F6BF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黑体-简" w:hAnsi="黑体-简" w:eastAsia="黑体-简"/>
      <w:b/>
      <w:bCs/>
      <w:color w:val="1720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-简" w:hAnsi="黑体-简" w:eastAsia="黑体-简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黑体-简" w:hAnsi="黑体-简" w:eastAsia="黑体-简"/>
      <w:b/>
      <w:color w:val="17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69" w:lineRule="auto"/>
    </w:pPr>
    <w:rPr>
      <w:rFonts w:ascii="黑体-简" w:hAnsi="黑体-简" w:eastAsia="黑体-简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