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16A6" w14:textId="7DC7C9B7" w:rsidR="00C00CC9" w:rsidRPr="00286D72" w:rsidRDefault="00286D72" w:rsidP="00286D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286D72">
        <w:rPr>
          <w:rFonts w:ascii="Times New Roman" w:hAnsi="Times New Roman" w:cs="Times New Roman"/>
          <w:b/>
          <w:bCs/>
          <w:sz w:val="28"/>
          <w:szCs w:val="28"/>
          <w:lang w:val="es-ES"/>
        </w:rPr>
        <w:t>Cuadro de priorización:</w:t>
      </w:r>
    </w:p>
    <w:tbl>
      <w:tblPr>
        <w:tblW w:w="15664" w:type="dxa"/>
        <w:tblInd w:w="-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"/>
        <w:gridCol w:w="1653"/>
        <w:gridCol w:w="1094"/>
        <w:gridCol w:w="1147"/>
        <w:gridCol w:w="1367"/>
        <w:gridCol w:w="2268"/>
        <w:gridCol w:w="2542"/>
        <w:gridCol w:w="1901"/>
        <w:gridCol w:w="2644"/>
      </w:tblGrid>
      <w:tr w:rsidR="00276B4B" w14:paraId="0BC3A77A" w14:textId="7AB03088" w:rsidTr="00276B4B">
        <w:trPr>
          <w:tblHeader/>
        </w:trPr>
        <w:tc>
          <w:tcPr>
            <w:tcW w:w="1048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644B" w14:textId="79EECA8E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165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66D1" w14:textId="472FA584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la Iniciativa</w:t>
            </w:r>
          </w:p>
        </w:tc>
        <w:tc>
          <w:tcPr>
            <w:tcW w:w="1094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2409" w14:textId="7787858C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Impacto (1-5)</w:t>
            </w:r>
          </w:p>
        </w:tc>
        <w:tc>
          <w:tcPr>
            <w:tcW w:w="1147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4B61" w14:textId="235BB253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Esfuerzo (1-5)</w:t>
            </w:r>
          </w:p>
        </w:tc>
        <w:tc>
          <w:tcPr>
            <w:tcW w:w="1367" w:type="dxa"/>
            <w:shd w:val="clear" w:color="auto" w:fill="1F3A5F"/>
            <w:vAlign w:val="center"/>
          </w:tcPr>
          <w:p w14:paraId="3340A9C1" w14:textId="720109BC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2268" w:type="dxa"/>
            <w:shd w:val="clear" w:color="auto" w:fill="1F3A5F"/>
            <w:vAlign w:val="center"/>
          </w:tcPr>
          <w:p w14:paraId="0BCBE664" w14:textId="11F579FA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Planificación (</w:t>
            </w:r>
            <w:proofErr w:type="spellStart"/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Roadmap</w:t>
            </w:r>
            <w:proofErr w:type="spellEnd"/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542" w:type="dxa"/>
            <w:shd w:val="clear" w:color="auto" w:fill="1F3A5F"/>
            <w:vAlign w:val="center"/>
          </w:tcPr>
          <w:p w14:paraId="69A5FC2B" w14:textId="0D336F08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Brecha que Resuelve (Gap)</w:t>
            </w:r>
          </w:p>
        </w:tc>
        <w:tc>
          <w:tcPr>
            <w:tcW w:w="1901" w:type="dxa"/>
            <w:shd w:val="clear" w:color="auto" w:fill="1F3A5F"/>
            <w:vAlign w:val="center"/>
          </w:tcPr>
          <w:p w14:paraId="40663080" w14:textId="250628C5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Meta </w:t>
            </w:r>
            <w:proofErr w:type="spellStart"/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Alineada</w:t>
            </w:r>
            <w:proofErr w:type="spellEnd"/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(TO-BE Goal)</w:t>
            </w:r>
          </w:p>
        </w:tc>
        <w:tc>
          <w:tcPr>
            <w:tcW w:w="2644" w:type="dxa"/>
            <w:shd w:val="clear" w:color="auto" w:fill="1F3A5F"/>
            <w:vAlign w:val="center"/>
          </w:tcPr>
          <w:p w14:paraId="5442C9D1" w14:textId="353B1D85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Riesgo Asociado por Inacción</w:t>
            </w:r>
          </w:p>
        </w:tc>
      </w:tr>
      <w:tr w:rsidR="00276B4B" w14:paraId="6A082DEF" w14:textId="21452CDF" w:rsidTr="00276B4B">
        <w:tc>
          <w:tcPr>
            <w:tcW w:w="1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A1B3" w14:textId="651F8CFB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PROY-01</w:t>
            </w:r>
          </w:p>
        </w:tc>
        <w:tc>
          <w:tcPr>
            <w:tcW w:w="16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3A93" w14:textId="1EB7D8A5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Portal de Pacientes &amp; App Móvil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FEA1" w14:textId="0B7C9474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4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4F89" w14:textId="5791C511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7" w:type="dxa"/>
            <w:shd w:val="clear" w:color="auto" w:fill="FFFFFF"/>
            <w:vAlign w:val="center"/>
          </w:tcPr>
          <w:p w14:paraId="3DAA09E0" w14:textId="16B64336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color w:val="1F2D3D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7F9E3E8" w14:textId="693AC56C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color w:val="1F2D3D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Ola 1</w:t>
            </w: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 xml:space="preserve"> (0 a 12 meses)</w:t>
            </w:r>
          </w:p>
        </w:tc>
        <w:tc>
          <w:tcPr>
            <w:tcW w:w="2542" w:type="dxa"/>
            <w:shd w:val="clear" w:color="auto" w:fill="FFFFFF"/>
            <w:vAlign w:val="center"/>
          </w:tcPr>
          <w:p w14:paraId="549E0DA1" w14:textId="46672472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Sin canal digital de autoatención para reservas.</w:t>
            </w:r>
          </w:p>
        </w:tc>
        <w:tc>
          <w:tcPr>
            <w:tcW w:w="1901" w:type="dxa"/>
            <w:shd w:val="clear" w:color="auto" w:fill="FFFFFF"/>
            <w:vAlign w:val="center"/>
          </w:tcPr>
          <w:p w14:paraId="0A811D4C" w14:textId="311C0DF9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Atención 100% digital y autogestionada al 2027.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75D72799" w14:textId="6501B9BB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Pérdida progresiva de cuota de mercado frente a competidores digitales.</w:t>
            </w:r>
          </w:p>
        </w:tc>
      </w:tr>
      <w:tr w:rsidR="00276B4B" w14:paraId="31A6C72C" w14:textId="5A170873" w:rsidTr="00276B4B">
        <w:tc>
          <w:tcPr>
            <w:tcW w:w="1048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0AB5" w14:textId="25F87700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PROY-05</w:t>
            </w:r>
          </w:p>
        </w:tc>
        <w:tc>
          <w:tcPr>
            <w:tcW w:w="1653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9647" w14:textId="5B470418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Plataforma de Telemedicina</w:t>
            </w:r>
          </w:p>
        </w:tc>
        <w:tc>
          <w:tcPr>
            <w:tcW w:w="1094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D112" w14:textId="765906A2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47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90FB" w14:textId="208B5F6B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7" w:type="dxa"/>
            <w:shd w:val="clear" w:color="auto" w:fill="F2F6FA"/>
            <w:vAlign w:val="center"/>
          </w:tcPr>
          <w:p w14:paraId="06B839A7" w14:textId="10F0F23C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color w:val="1F2D3D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2268" w:type="dxa"/>
            <w:shd w:val="clear" w:color="auto" w:fill="F2F6FA"/>
            <w:vAlign w:val="center"/>
          </w:tcPr>
          <w:p w14:paraId="1FA3B27D" w14:textId="671C895A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color w:val="1F2D3D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Ola 1</w:t>
            </w: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 xml:space="preserve"> (0 a 12 meses)</w:t>
            </w:r>
          </w:p>
        </w:tc>
        <w:tc>
          <w:tcPr>
            <w:tcW w:w="2542" w:type="dxa"/>
            <w:shd w:val="clear" w:color="auto" w:fill="F2F6FA"/>
            <w:vAlign w:val="center"/>
          </w:tcPr>
          <w:p w14:paraId="467DD8E3" w14:textId="1BEEB254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Inexistencia de consultas médicas remotas y virtuales.</w:t>
            </w:r>
          </w:p>
        </w:tc>
        <w:tc>
          <w:tcPr>
            <w:tcW w:w="1901" w:type="dxa"/>
            <w:shd w:val="clear" w:color="auto" w:fill="F2F6FA"/>
            <w:vAlign w:val="center"/>
          </w:tcPr>
          <w:p w14:paraId="3970CFC5" w14:textId="2D9B5FF3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 xml:space="preserve">Cobertura </w:t>
            </w:r>
            <w:proofErr w:type="spellStart"/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omnicanal</w:t>
            </w:r>
            <w:proofErr w:type="spellEnd"/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, accesible y descentralizada.</w:t>
            </w:r>
          </w:p>
        </w:tc>
        <w:tc>
          <w:tcPr>
            <w:tcW w:w="2644" w:type="dxa"/>
            <w:shd w:val="clear" w:color="auto" w:fill="F2F6FA"/>
            <w:vAlign w:val="center"/>
          </w:tcPr>
          <w:p w14:paraId="40AC04F6" w14:textId="30D0BFD7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Saturación del servicio de urgencias físicas y consultorios.</w:t>
            </w:r>
          </w:p>
        </w:tc>
      </w:tr>
      <w:tr w:rsidR="00276B4B" w14:paraId="2BCB2373" w14:textId="22471B66" w:rsidTr="00276B4B">
        <w:tc>
          <w:tcPr>
            <w:tcW w:w="1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C297" w14:textId="1A50387F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PROY-02</w:t>
            </w:r>
          </w:p>
        </w:tc>
        <w:tc>
          <w:tcPr>
            <w:tcW w:w="16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125D" w14:textId="598FB3DD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Plataforma de Integración (APIs)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6F1F" w14:textId="46D97A67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4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E356" w14:textId="5FFCE281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7" w:type="dxa"/>
            <w:shd w:val="clear" w:color="auto" w:fill="FFFFFF"/>
            <w:vAlign w:val="center"/>
          </w:tcPr>
          <w:p w14:paraId="5EB2ABEB" w14:textId="6EB1896B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color w:val="1F2D3D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19C1A18" w14:textId="7306287B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color w:val="1F2D3D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Ola 2</w:t>
            </w: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 xml:space="preserve"> (12 a 24 meses)</w:t>
            </w:r>
          </w:p>
        </w:tc>
        <w:tc>
          <w:tcPr>
            <w:tcW w:w="2542" w:type="dxa"/>
            <w:shd w:val="clear" w:color="auto" w:fill="FFFFFF"/>
            <w:vAlign w:val="center"/>
          </w:tcPr>
          <w:p w14:paraId="599BDD08" w14:textId="4F04058F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Sistemas de información médicos y administrativos aislados.</w:t>
            </w:r>
          </w:p>
        </w:tc>
        <w:tc>
          <w:tcPr>
            <w:tcW w:w="1901" w:type="dxa"/>
            <w:shd w:val="clear" w:color="auto" w:fill="FFFFFF"/>
            <w:vAlign w:val="center"/>
          </w:tcPr>
          <w:p w14:paraId="1728AFA5" w14:textId="4B9CDC90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Interoperabilidad técnica e integración institucional.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1CF2DD37" w14:textId="6158548A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Inconsistencia de datos clínicos e ineficiencia operativa.</w:t>
            </w:r>
          </w:p>
        </w:tc>
      </w:tr>
      <w:tr w:rsidR="00276B4B" w14:paraId="1552934B" w14:textId="2C1D538F" w:rsidTr="00276B4B">
        <w:tc>
          <w:tcPr>
            <w:tcW w:w="1048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B803" w14:textId="43B09FA2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PROY-03</w:t>
            </w:r>
          </w:p>
        </w:tc>
        <w:tc>
          <w:tcPr>
            <w:tcW w:w="1653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1EA2" w14:textId="276823FB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Historia Clínica Electrónica (HCE)</w:t>
            </w:r>
          </w:p>
        </w:tc>
        <w:tc>
          <w:tcPr>
            <w:tcW w:w="1094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1AFE" w14:textId="68D5974A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7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82EC" w14:textId="2E6EF2EB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7" w:type="dxa"/>
            <w:shd w:val="clear" w:color="auto" w:fill="F2F6FA"/>
            <w:vAlign w:val="center"/>
          </w:tcPr>
          <w:p w14:paraId="7613F3BA" w14:textId="0602E465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color w:val="1F2D3D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2268" w:type="dxa"/>
            <w:shd w:val="clear" w:color="auto" w:fill="F2F6FA"/>
            <w:vAlign w:val="center"/>
          </w:tcPr>
          <w:p w14:paraId="65FB9F76" w14:textId="0A5F5E63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color w:val="1F2D3D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Ola 2</w:t>
            </w: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 xml:space="preserve"> (12 a 24 meses)</w:t>
            </w:r>
          </w:p>
        </w:tc>
        <w:tc>
          <w:tcPr>
            <w:tcW w:w="2542" w:type="dxa"/>
            <w:shd w:val="clear" w:color="auto" w:fill="F2F6FA"/>
            <w:vAlign w:val="center"/>
          </w:tcPr>
          <w:p w14:paraId="588F0FC9" w14:textId="38BE5F1B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Registro e historias clínicas físicas en soporte de papel.</w:t>
            </w:r>
          </w:p>
        </w:tc>
        <w:tc>
          <w:tcPr>
            <w:tcW w:w="1901" w:type="dxa"/>
            <w:shd w:val="clear" w:color="auto" w:fill="F2F6FA"/>
            <w:vAlign w:val="center"/>
          </w:tcPr>
          <w:p w14:paraId="51D0BA78" w14:textId="69AC5EF6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Digitalización, legibilidad y seguridad de registros de salud.</w:t>
            </w:r>
          </w:p>
        </w:tc>
        <w:tc>
          <w:tcPr>
            <w:tcW w:w="2644" w:type="dxa"/>
            <w:shd w:val="clear" w:color="auto" w:fill="F2F6FA"/>
            <w:vAlign w:val="center"/>
          </w:tcPr>
          <w:p w14:paraId="7C1B60D9" w14:textId="3D205CDA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Pérdida o deterioro de información médica y sanciones regulatorias.</w:t>
            </w:r>
          </w:p>
        </w:tc>
      </w:tr>
      <w:tr w:rsidR="00276B4B" w14:paraId="6EC2AA11" w14:textId="415F651C" w:rsidTr="00276B4B">
        <w:tc>
          <w:tcPr>
            <w:tcW w:w="1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6BE1" w14:textId="4202FF71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PROY-04</w:t>
            </w:r>
          </w:p>
        </w:tc>
        <w:tc>
          <w:tcPr>
            <w:tcW w:w="16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6317" w14:textId="2D8FCD04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Migración Cloud (Azure/AKS)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46B7" w14:textId="510E8DC3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C0C3" w14:textId="4FA69811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7" w:type="dxa"/>
            <w:shd w:val="clear" w:color="auto" w:fill="FFFFFF"/>
            <w:vAlign w:val="center"/>
          </w:tcPr>
          <w:p w14:paraId="438DD560" w14:textId="2B5B53C5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color w:val="1F2D3D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7B81586" w14:textId="254E8FB5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color w:val="1F2D3D"/>
                <w:sz w:val="24"/>
                <w:szCs w:val="24"/>
              </w:rPr>
            </w:pPr>
            <w:r w:rsidRPr="00276B4B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Ola 3</w:t>
            </w: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 xml:space="preserve"> (24 a 36 meses)</w:t>
            </w:r>
          </w:p>
        </w:tc>
        <w:tc>
          <w:tcPr>
            <w:tcW w:w="2542" w:type="dxa"/>
            <w:shd w:val="clear" w:color="auto" w:fill="FFFFFF"/>
            <w:vAlign w:val="center"/>
          </w:tcPr>
          <w:p w14:paraId="34FF2611" w14:textId="51EBE4BA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Servidores físicos locales sin escalabilidad ni elasticidad.</w:t>
            </w:r>
          </w:p>
        </w:tc>
        <w:tc>
          <w:tcPr>
            <w:tcW w:w="1901" w:type="dxa"/>
            <w:shd w:val="clear" w:color="auto" w:fill="FFFFFF"/>
            <w:vAlign w:val="center"/>
          </w:tcPr>
          <w:p w14:paraId="272287FA" w14:textId="61B28278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Infraestructura elástica, altamente disponible y redundante.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03B6BBD1" w14:textId="184419B3" w:rsidR="00276B4B" w:rsidRPr="00276B4B" w:rsidRDefault="00276B4B" w:rsidP="00276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B4B">
              <w:rPr>
                <w:rFonts w:ascii="Times New Roman" w:hAnsi="Times New Roman" w:cs="Times New Roman"/>
                <w:sz w:val="24"/>
                <w:szCs w:val="24"/>
              </w:rPr>
              <w:t>Caídas del sistema en horas pico y altos costos de mantenimiento.</w:t>
            </w:r>
          </w:p>
        </w:tc>
      </w:tr>
    </w:tbl>
    <w:p w14:paraId="04A19590" w14:textId="77777777" w:rsidR="00286D72" w:rsidRPr="00286D72" w:rsidRDefault="00286D72">
      <w:pPr>
        <w:rPr>
          <w:lang w:val="es-ES"/>
        </w:rPr>
      </w:pPr>
    </w:p>
    <w:sectPr w:rsidR="00286D72" w:rsidRPr="00286D72" w:rsidSect="00276B4B">
      <w:pgSz w:w="16838" w:h="11906" w:orient="landscape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72"/>
    <w:rsid w:val="00276B4B"/>
    <w:rsid w:val="00286D72"/>
    <w:rsid w:val="0034425E"/>
    <w:rsid w:val="00370273"/>
    <w:rsid w:val="00385E20"/>
    <w:rsid w:val="0050362A"/>
    <w:rsid w:val="005E2DFE"/>
    <w:rsid w:val="006B2AB9"/>
    <w:rsid w:val="007205DB"/>
    <w:rsid w:val="00AE6767"/>
    <w:rsid w:val="00C00CC9"/>
    <w:rsid w:val="00DA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EFFB67"/>
  <w15:chartTrackingRefBased/>
  <w15:docId w15:val="{02EFB0A3-B36D-4F43-8289-887D654A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6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6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D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6D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6D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6D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6D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6D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6D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6D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6D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6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6D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6D72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286D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Jerson 31</dc:creator>
  <cp:keywords/>
  <dc:description/>
  <cp:lastModifiedBy>Jerson 31</cp:lastModifiedBy>
  <cp:revision>2</cp:revision>
  <dcterms:created xsi:type="dcterms:W3CDTF">2026-05-30T05:02:00Z</dcterms:created>
  <dcterms:modified xsi:type="dcterms:W3CDTF">2026-05-30T05:02:00Z</dcterms:modified>
</cp:coreProperties>
</file>