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764493076"/>
        <w:docPartObj>
          <w:docPartGallery w:val="Cover Pages"/>
          <w:docPartUnique/>
        </w:docPartObj>
      </w:sdtPr>
      <w:sdtEndPr>
        <w:rPr>
          <w:rFonts w:ascii="Times New Roman" w:eastAsia="Times New Roman" w:hAnsi="Times New Roman" w:cs="Times New Roman"/>
          <w:kern w:val="0"/>
          <w14:ligatures w14:val="none"/>
        </w:rPr>
      </w:sdtEndPr>
      <w:sdtContent>
        <w:p w14:paraId="62790A3F" w14:textId="7622EACA" w:rsidR="00263F27" w:rsidRDefault="00263F27"/>
        <w:p w14:paraId="732B616C" w14:textId="6C0E08EA" w:rsidR="00263F27" w:rsidRDefault="00263F27">
          <w:pPr>
            <w:rPr>
              <w:rFonts w:ascii="Times New Roman" w:eastAsia="Times New Roman" w:hAnsi="Times New Roman" w:cs="Times New Roman"/>
              <w:kern w:val="0"/>
              <w14:ligatures w14:val="none"/>
            </w:rPr>
          </w:pPr>
          <w:r>
            <w:rPr>
              <w:noProof/>
            </w:rPr>
            <mc:AlternateContent>
              <mc:Choice Requires="wps">
                <w:drawing>
                  <wp:anchor distT="0" distB="0" distL="182880" distR="182880" simplePos="0" relativeHeight="251660288" behindDoc="0" locked="0" layoutInCell="1" allowOverlap="1" wp14:anchorId="67EA07BC" wp14:editId="1837B135">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81F4752" w14:textId="2EDC1F8D" w:rsidR="00263F27" w:rsidRDefault="00000000">
                                <w:pPr>
                                  <w:pStyle w:val="NoSpacing"/>
                                  <w:spacing w:before="40" w:after="560" w:line="216" w:lineRule="auto"/>
                                  <w:rPr>
                                    <w:color w:val="156082" w:themeColor="accent1"/>
                                    <w:sz w:val="72"/>
                                    <w:szCs w:val="72"/>
                                  </w:rPr>
                                </w:pPr>
                                <w:sdt>
                                  <w:sdtPr>
                                    <w:rPr>
                                      <w:color w:val="156082"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263F27" w:rsidRPr="00263F27">
                                      <w:rPr>
                                        <w:color w:val="156082" w:themeColor="accent1"/>
                                        <w:sz w:val="72"/>
                                        <w:szCs w:val="72"/>
                                      </w:rPr>
                                      <w:t>Cloud Security Risks in the Shipping Sector</w:t>
                                    </w:r>
                                  </w:sdtContent>
                                </w:sdt>
                              </w:p>
                              <w:p w14:paraId="02FFE604" w14:textId="4A624618" w:rsidR="00263F27" w:rsidRPr="00263F27" w:rsidRDefault="00263F27" w:rsidP="00263F27">
                                <w:pPr>
                                  <w:pStyle w:val="NoSpacing"/>
                                  <w:spacing w:before="40" w:after="560" w:line="216" w:lineRule="auto"/>
                                  <w:rPr>
                                    <w:caps/>
                                    <w:color w:val="501549" w:themeColor="accent5" w:themeShade="80"/>
                                    <w:sz w:val="24"/>
                                    <w:szCs w:val="24"/>
                                  </w:rPr>
                                </w:pPr>
                                <w:r w:rsidRPr="00263F27">
                                  <w:rPr>
                                    <w:caps/>
                                    <w:color w:val="501549" w:themeColor="accent5" w:themeShade="80"/>
                                    <w:sz w:val="24"/>
                                    <w:szCs w:val="24"/>
                                  </w:rPr>
                                  <w:t xml:space="preserve">Research Methods and Professional Practice July 2025 B - </w:t>
                                </w:r>
                                <w:sdt>
                                  <w:sdtPr>
                                    <w:rPr>
                                      <w:caps/>
                                      <w:color w:val="501549" w:themeColor="accent5" w:themeShade="80"/>
                                      <w:sz w:val="24"/>
                                      <w:szCs w:val="24"/>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r w:rsidRPr="00263F27">
                                      <w:rPr>
                                        <w:caps/>
                                        <w:color w:val="501549" w:themeColor="accent5" w:themeShade="80"/>
                                        <w:sz w:val="24"/>
                                        <w:szCs w:val="24"/>
                                      </w:rPr>
                                      <w:t>Literature review</w:t>
                                    </w:r>
                                  </w:sdtContent>
                                </w:sdt>
                              </w:p>
                              <w:sdt>
                                <w:sdtPr>
                                  <w:rPr>
                                    <w:caps/>
                                    <w:color w:val="A02B93"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2E27D709" w14:textId="53D84821" w:rsidR="00263F27" w:rsidRDefault="00263F27">
                                    <w:pPr>
                                      <w:pStyle w:val="NoSpacing"/>
                                      <w:spacing w:before="80" w:after="40"/>
                                      <w:rPr>
                                        <w:caps/>
                                        <w:color w:val="A02B93" w:themeColor="accent5"/>
                                        <w:sz w:val="24"/>
                                        <w:szCs w:val="24"/>
                                      </w:rPr>
                                    </w:pPr>
                                    <w:r>
                                      <w:rPr>
                                        <w:caps/>
                                        <w:color w:val="A02B93" w:themeColor="accent5"/>
                                        <w:sz w:val="24"/>
                                        <w:szCs w:val="24"/>
                                      </w:rPr>
                                      <w:t>Tyrone Lim</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67EA07BC"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" filled="f" stroked="f" strokeweight=".5pt">
                    <v:textbox style="mso-fit-shape-to-text:t" inset="0,0,0,0">
                      <w:txbxContent>
                        <w:p w14:paraId="181F4752" w14:textId="2EDC1F8D" w:rsidR="00263F27" w:rsidRDefault="00000000">
                          <w:pPr>
                            <w:pStyle w:val="NoSpacing"/>
                            <w:spacing w:before="40" w:after="560" w:line="216" w:lineRule="auto"/>
                            <w:rPr>
                              <w:color w:val="156082" w:themeColor="accent1"/>
                              <w:sz w:val="72"/>
                              <w:szCs w:val="72"/>
                            </w:rPr>
                          </w:pPr>
                          <w:sdt>
                            <w:sdtPr>
                              <w:rPr>
                                <w:color w:val="156082"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263F27" w:rsidRPr="00263F27">
                                <w:rPr>
                                  <w:color w:val="156082" w:themeColor="accent1"/>
                                  <w:sz w:val="72"/>
                                  <w:szCs w:val="72"/>
                                </w:rPr>
                                <w:t>Cloud Security Risks in the Shipping Sector</w:t>
                              </w:r>
                            </w:sdtContent>
                          </w:sdt>
                        </w:p>
                        <w:p w14:paraId="02FFE604" w14:textId="4A624618" w:rsidR="00263F27" w:rsidRPr="00263F27" w:rsidRDefault="00263F27" w:rsidP="00263F27">
                          <w:pPr>
                            <w:pStyle w:val="NoSpacing"/>
                            <w:spacing w:before="40" w:after="560" w:line="216" w:lineRule="auto"/>
                            <w:rPr>
                              <w:caps/>
                              <w:color w:val="501549" w:themeColor="accent5" w:themeShade="80"/>
                              <w:sz w:val="24"/>
                              <w:szCs w:val="24"/>
                            </w:rPr>
                          </w:pPr>
                          <w:r w:rsidRPr="00263F27">
                            <w:rPr>
                              <w:caps/>
                              <w:color w:val="501549" w:themeColor="accent5" w:themeShade="80"/>
                              <w:sz w:val="24"/>
                              <w:szCs w:val="24"/>
                            </w:rPr>
                            <w:t xml:space="preserve">Research Methods and Professional Practice July 2025 B - </w:t>
                          </w:r>
                          <w:sdt>
                            <w:sdtPr>
                              <w:rPr>
                                <w:caps/>
                                <w:color w:val="501549" w:themeColor="accent5" w:themeShade="80"/>
                                <w:sz w:val="24"/>
                                <w:szCs w:val="24"/>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r w:rsidRPr="00263F27">
                                <w:rPr>
                                  <w:caps/>
                                  <w:color w:val="501549" w:themeColor="accent5" w:themeShade="80"/>
                                  <w:sz w:val="24"/>
                                  <w:szCs w:val="24"/>
                                </w:rPr>
                                <w:t>Literature review</w:t>
                              </w:r>
                            </w:sdtContent>
                          </w:sdt>
                        </w:p>
                        <w:sdt>
                          <w:sdtPr>
                            <w:rPr>
                              <w:caps/>
                              <w:color w:val="A02B93"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2E27D709" w14:textId="53D84821" w:rsidR="00263F27" w:rsidRDefault="00263F27">
                              <w:pPr>
                                <w:pStyle w:val="NoSpacing"/>
                                <w:spacing w:before="80" w:after="40"/>
                                <w:rPr>
                                  <w:caps/>
                                  <w:color w:val="A02B93" w:themeColor="accent5"/>
                                  <w:sz w:val="24"/>
                                  <w:szCs w:val="24"/>
                                </w:rPr>
                              </w:pPr>
                              <w:r>
                                <w:rPr>
                                  <w:caps/>
                                  <w:color w:val="A02B93" w:themeColor="accent5"/>
                                  <w:sz w:val="24"/>
                                  <w:szCs w:val="24"/>
                                </w:rPr>
                                <w:t>Tyrone Lim</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2B960609" wp14:editId="3572618F">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5-01-01T00:00:00Z">
                                    <w:dateFormat w:val="yyyy"/>
                                    <w:lid w:val="en-US"/>
                                    <w:storeMappedDataAs w:val="dateTime"/>
                                    <w:calendar w:val="gregorian"/>
                                  </w:date>
                                </w:sdtPr>
                                <w:sdtContent>
                                  <w:p w14:paraId="1705BC6F" w14:textId="54121091" w:rsidR="00263F27" w:rsidRDefault="00263F27">
                                    <w:pPr>
                                      <w:pStyle w:val="NoSpacing"/>
                                      <w:jc w:val="right"/>
                                      <w:rPr>
                                        <w:color w:val="FFFFFF" w:themeColor="background1"/>
                                        <w:sz w:val="24"/>
                                        <w:szCs w:val="24"/>
                                      </w:rPr>
                                    </w:pPr>
                                    <w:r>
                                      <w:rPr>
                                        <w:color w:val="FFFFFF" w:themeColor="background1"/>
                                        <w:sz w:val="24"/>
                                        <w:szCs w:val="24"/>
                                      </w:rPr>
                                      <w:t>2025</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2B960609"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" fillcolor="#156082 [3204]" stroked="f" strokeweight="1.5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5-01-01T00:00:00Z">
                              <w:dateFormat w:val="yyyy"/>
                              <w:lid w:val="en-US"/>
                              <w:storeMappedDataAs w:val="dateTime"/>
                              <w:calendar w:val="gregorian"/>
                            </w:date>
                          </w:sdtPr>
                          <w:sdtContent>
                            <w:p w14:paraId="1705BC6F" w14:textId="54121091" w:rsidR="00263F27" w:rsidRDefault="00263F27">
                              <w:pPr>
                                <w:pStyle w:val="NoSpacing"/>
                                <w:jc w:val="right"/>
                                <w:rPr>
                                  <w:color w:val="FFFFFF" w:themeColor="background1"/>
                                  <w:sz w:val="24"/>
                                  <w:szCs w:val="24"/>
                                </w:rPr>
                              </w:pPr>
                              <w:r>
                                <w:rPr>
                                  <w:color w:val="FFFFFF" w:themeColor="background1"/>
                                  <w:sz w:val="24"/>
                                  <w:szCs w:val="24"/>
                                </w:rPr>
                                <w:t>2025</w:t>
                              </w:r>
                            </w:p>
                          </w:sdtContent>
                        </w:sdt>
                      </w:txbxContent>
                    </v:textbox>
                    <w10:wrap anchorx="margin" anchory="page"/>
                  </v:rect>
                </w:pict>
              </mc:Fallback>
            </mc:AlternateContent>
          </w:r>
          <w:r>
            <w:rPr>
              <w:rFonts w:ascii="Times New Roman" w:eastAsia="Times New Roman" w:hAnsi="Times New Roman" w:cs="Times New Roman"/>
              <w:kern w:val="0"/>
              <w14:ligatures w14:val="none"/>
            </w:rPr>
            <w:br w:type="page"/>
          </w:r>
        </w:p>
      </w:sdtContent>
    </w:sdt>
    <w:p w14:paraId="65DC3190" w14:textId="77777777" w:rsidR="00DB5985" w:rsidRPr="00DB5985" w:rsidRDefault="00DB5985" w:rsidP="00752CA8">
      <w:pPr>
        <w:spacing w:after="0" w:line="480" w:lineRule="auto"/>
        <w:rPr>
          <w:rFonts w:ascii="Times New Roman" w:hAnsi="Times New Roman" w:cs="Times New Roman"/>
          <w:b/>
          <w:bCs/>
        </w:rPr>
      </w:pPr>
      <w:r w:rsidRPr="00DB5985">
        <w:rPr>
          <w:rFonts w:ascii="Times New Roman" w:hAnsi="Times New Roman" w:cs="Times New Roman"/>
          <w:b/>
          <w:bCs/>
        </w:rPr>
        <w:lastRenderedPageBreak/>
        <w:t>Abstract</w:t>
      </w:r>
    </w:p>
    <w:p w14:paraId="116B71C0" w14:textId="1B373250" w:rsidR="00643896" w:rsidRPr="00752CA8" w:rsidRDefault="00DB5985" w:rsidP="00752CA8">
      <w:pPr>
        <w:spacing w:after="0" w:line="480" w:lineRule="auto"/>
        <w:ind w:firstLine="720"/>
        <w:rPr>
          <w:rFonts w:ascii="Times New Roman" w:hAnsi="Times New Roman" w:cs="Times New Roman"/>
        </w:rPr>
      </w:pPr>
      <w:r w:rsidRPr="00DB5985">
        <w:rPr>
          <w:rFonts w:ascii="Times New Roman" w:hAnsi="Times New Roman" w:cs="Times New Roman"/>
        </w:rPr>
        <w:t xml:space="preserve">Cloud computing has become integral to the digital transformation of the shipping industry, enabling efficiency, scalability, and resilience. Yet its adoption introduces new vectors of cyber risk, particularly in ports and terminals where operational technology (OT), information technology (IT), and diverse stakeholders converge. This literature review critically evaluates quantitative evidence on cloud security risks in the shipping sector, with a particular emphasis on the Caribbean context and compliance obligations under the Jamaica Data Protection Act (JDPA, 2020). </w:t>
      </w:r>
      <w:r w:rsidR="00643896" w:rsidRPr="00752CA8">
        <w:rPr>
          <w:rFonts w:ascii="Times New Roman" w:hAnsi="Times New Roman" w:cs="Times New Roman"/>
        </w:rPr>
        <w:t xml:space="preserve">Drawing on industry surveys, regulatory frameworks, and academic studies, the review identifies five primary risk categories: identity and access management (IAM) flaws, misconfiguration, unsecured </w:t>
      </w:r>
      <w:r w:rsidR="00B10C71" w:rsidRPr="00B10C71">
        <w:rPr>
          <w:rFonts w:ascii="Times New Roman" w:hAnsi="Times New Roman" w:cs="Times New Roman"/>
        </w:rPr>
        <w:t>Application Programming Interfaces (APIs)</w:t>
      </w:r>
      <w:r w:rsidR="00643896" w:rsidRPr="00752CA8">
        <w:rPr>
          <w:rFonts w:ascii="Times New Roman" w:hAnsi="Times New Roman" w:cs="Times New Roman"/>
        </w:rPr>
        <w:t>, ransomware, and systemic concentration</w:t>
      </w:r>
      <w:r w:rsidRPr="00DB5985">
        <w:rPr>
          <w:rFonts w:ascii="Times New Roman" w:hAnsi="Times New Roman" w:cs="Times New Roman"/>
        </w:rPr>
        <w:t xml:space="preserve">. </w:t>
      </w:r>
      <w:r w:rsidR="00643896" w:rsidRPr="00752CA8">
        <w:rPr>
          <w:rFonts w:ascii="Times New Roman" w:hAnsi="Times New Roman" w:cs="Times New Roman"/>
        </w:rPr>
        <w:t>It compares perspectives on cloud as a resilience facilitator vs a concentration risk, and criticizes the research foundation for its lack of quantitative, port-specific data. The analysis concluded that without quantitative indications such as incident frequency, downtime, identity ratios, and compliance standards, ports like Kingston Freeport Terminal Limited (KFTL) run the danger of making governance choices based on assumptions rather than facts.</w:t>
      </w:r>
    </w:p>
    <w:p w14:paraId="2FC68D00" w14:textId="61F77C7C" w:rsidR="00DB5985" w:rsidRPr="00DB5985" w:rsidRDefault="00DB5985" w:rsidP="00752CA8">
      <w:pPr>
        <w:spacing w:after="0" w:line="480" w:lineRule="auto"/>
        <w:rPr>
          <w:rFonts w:ascii="Times New Roman" w:hAnsi="Times New Roman" w:cs="Times New Roman"/>
        </w:rPr>
      </w:pPr>
    </w:p>
    <w:p w14:paraId="6F1C026D" w14:textId="7E566AE9" w:rsidR="00DB5985" w:rsidRPr="00DB5985" w:rsidRDefault="00DB5985" w:rsidP="00752CA8">
      <w:pPr>
        <w:spacing w:after="0" w:line="480" w:lineRule="auto"/>
        <w:rPr>
          <w:rFonts w:ascii="Times New Roman" w:hAnsi="Times New Roman" w:cs="Times New Roman"/>
          <w:b/>
          <w:bCs/>
        </w:rPr>
      </w:pPr>
      <w:r w:rsidRPr="00DB5985">
        <w:rPr>
          <w:rFonts w:ascii="Times New Roman" w:hAnsi="Times New Roman" w:cs="Times New Roman"/>
          <w:b/>
          <w:bCs/>
        </w:rPr>
        <w:t>Introduction</w:t>
      </w:r>
    </w:p>
    <w:p w14:paraId="2096101A" w14:textId="234B4992" w:rsidR="00DB5985" w:rsidRPr="00DB5985" w:rsidRDefault="00DB5985" w:rsidP="00752CA8">
      <w:pPr>
        <w:spacing w:after="0" w:line="480" w:lineRule="auto"/>
        <w:ind w:firstLine="720"/>
        <w:rPr>
          <w:rFonts w:ascii="Times New Roman" w:hAnsi="Times New Roman" w:cs="Times New Roman"/>
        </w:rPr>
      </w:pPr>
      <w:r w:rsidRPr="00DB5985">
        <w:rPr>
          <w:rFonts w:ascii="Times New Roman" w:hAnsi="Times New Roman" w:cs="Times New Roman"/>
        </w:rPr>
        <w:t xml:space="preserve">The shipping industry is undergoing rapid digital transformation, with cloud computing increasingly integrated into terminal operations, logistics management, and cybersecurity monitoring. For ports and terminals such as Kingston Freeport Terminal Limited (KFTL) in Jamaica, cloud services </w:t>
      </w:r>
      <w:r w:rsidR="00752CA8" w:rsidRPr="00752CA8">
        <w:rPr>
          <w:rFonts w:ascii="Times New Roman" w:hAnsi="Times New Roman" w:cs="Times New Roman"/>
        </w:rPr>
        <w:t>support</w:t>
      </w:r>
      <w:r w:rsidRPr="00DB5985">
        <w:rPr>
          <w:rFonts w:ascii="Times New Roman" w:hAnsi="Times New Roman" w:cs="Times New Roman"/>
        </w:rPr>
        <w:t xml:space="preserve"> mission-critical systems, including Terminal Operating Systems (TOS), Port Community Systems (PCS), and data-sharing platforms. </w:t>
      </w:r>
      <w:r w:rsidR="00752CA8" w:rsidRPr="00752CA8">
        <w:rPr>
          <w:rFonts w:ascii="Times New Roman" w:hAnsi="Times New Roman" w:cs="Times New Roman"/>
        </w:rPr>
        <w:t xml:space="preserve">While cloud adoption </w:t>
      </w:r>
      <w:r w:rsidR="00752CA8" w:rsidRPr="00752CA8">
        <w:rPr>
          <w:rFonts w:ascii="Times New Roman" w:hAnsi="Times New Roman" w:cs="Times New Roman"/>
        </w:rPr>
        <w:lastRenderedPageBreak/>
        <w:t>provides scalability, resilience, and efficiency, it also creates new dangers in situations where operational technology (OT), information technology (IT), and a variety of stakeholders interact.</w:t>
      </w:r>
    </w:p>
    <w:p w14:paraId="37F47CB4" w14:textId="074E2361" w:rsidR="00DB5985" w:rsidRPr="00DB5985" w:rsidRDefault="00752CA8" w:rsidP="00752CA8">
      <w:pPr>
        <w:spacing w:after="0" w:line="480" w:lineRule="auto"/>
        <w:ind w:firstLine="720"/>
        <w:rPr>
          <w:rFonts w:ascii="Times New Roman" w:hAnsi="Times New Roman" w:cs="Times New Roman"/>
        </w:rPr>
      </w:pPr>
      <w:r w:rsidRPr="00752CA8">
        <w:rPr>
          <w:rFonts w:ascii="Times New Roman" w:hAnsi="Times New Roman" w:cs="Times New Roman"/>
        </w:rPr>
        <w:t>The audience for this review includes two groups: academic examiners, who will assess the work as part of the MSc programme, and professional practitioners in the maritime sector, who must understand how cloud adoption intersects with operational resilience and legal compliance.</w:t>
      </w:r>
    </w:p>
    <w:p w14:paraId="3960D544" w14:textId="77777777" w:rsidR="00DB5985" w:rsidRPr="00DB5985" w:rsidRDefault="00DB5985" w:rsidP="00752CA8">
      <w:pPr>
        <w:spacing w:after="0" w:line="480" w:lineRule="auto"/>
        <w:ind w:firstLine="360"/>
        <w:rPr>
          <w:rFonts w:ascii="Times New Roman" w:hAnsi="Times New Roman" w:cs="Times New Roman"/>
        </w:rPr>
      </w:pPr>
      <w:r w:rsidRPr="00DB5985">
        <w:rPr>
          <w:rFonts w:ascii="Times New Roman" w:hAnsi="Times New Roman" w:cs="Times New Roman"/>
        </w:rPr>
        <w:t>The aim is to critically evaluate existing literature on cloud security risks in the shipping sector, with an emphasis on the Caribbean port context and the obligations imposed by the Jamaica Data Protection Act (JDPA, 2020). The review will provide:</w:t>
      </w:r>
    </w:p>
    <w:p w14:paraId="52E25D4E" w14:textId="77777777" w:rsidR="00DB5985" w:rsidRPr="00DB5985" w:rsidRDefault="00DB5985" w:rsidP="00752CA8">
      <w:pPr>
        <w:numPr>
          <w:ilvl w:val="0"/>
          <w:numId w:val="1"/>
        </w:numPr>
        <w:spacing w:after="0" w:line="480" w:lineRule="auto"/>
        <w:rPr>
          <w:rFonts w:ascii="Times New Roman" w:hAnsi="Times New Roman" w:cs="Times New Roman"/>
        </w:rPr>
      </w:pPr>
      <w:r w:rsidRPr="00DB5985">
        <w:rPr>
          <w:rFonts w:ascii="Times New Roman" w:hAnsi="Times New Roman" w:cs="Times New Roman"/>
        </w:rPr>
        <w:t>An overview of current knowledge and quantitative evidence on cloud security risks.</w:t>
      </w:r>
    </w:p>
    <w:p w14:paraId="51225DBD" w14:textId="77777777" w:rsidR="00DB5985" w:rsidRPr="00DB5985" w:rsidRDefault="00DB5985" w:rsidP="00752CA8">
      <w:pPr>
        <w:numPr>
          <w:ilvl w:val="0"/>
          <w:numId w:val="1"/>
        </w:numPr>
        <w:spacing w:after="0" w:line="480" w:lineRule="auto"/>
        <w:rPr>
          <w:rFonts w:ascii="Times New Roman" w:hAnsi="Times New Roman" w:cs="Times New Roman"/>
        </w:rPr>
      </w:pPr>
      <w:r w:rsidRPr="00DB5985">
        <w:rPr>
          <w:rFonts w:ascii="Times New Roman" w:hAnsi="Times New Roman" w:cs="Times New Roman"/>
        </w:rPr>
        <w:t>An analysis of sector-specific risks in shipping and ports.</w:t>
      </w:r>
    </w:p>
    <w:p w14:paraId="2E7304C9" w14:textId="77777777" w:rsidR="00DB5985" w:rsidRPr="00DB5985" w:rsidRDefault="00DB5985" w:rsidP="00752CA8">
      <w:pPr>
        <w:numPr>
          <w:ilvl w:val="0"/>
          <w:numId w:val="1"/>
        </w:numPr>
        <w:spacing w:after="0" w:line="480" w:lineRule="auto"/>
        <w:rPr>
          <w:rFonts w:ascii="Times New Roman" w:hAnsi="Times New Roman" w:cs="Times New Roman"/>
        </w:rPr>
      </w:pPr>
      <w:r w:rsidRPr="00DB5985">
        <w:rPr>
          <w:rFonts w:ascii="Times New Roman" w:hAnsi="Times New Roman" w:cs="Times New Roman"/>
        </w:rPr>
        <w:t>A comparison of contrasting perspectives on cloud as a resilience enabler versus a concentration risk.</w:t>
      </w:r>
    </w:p>
    <w:p w14:paraId="0D8B66CB" w14:textId="77777777" w:rsidR="00DB5985" w:rsidRPr="00DB5985" w:rsidRDefault="00DB5985" w:rsidP="00752CA8">
      <w:pPr>
        <w:numPr>
          <w:ilvl w:val="0"/>
          <w:numId w:val="1"/>
        </w:numPr>
        <w:spacing w:after="0" w:line="480" w:lineRule="auto"/>
        <w:rPr>
          <w:rFonts w:ascii="Times New Roman" w:hAnsi="Times New Roman" w:cs="Times New Roman"/>
        </w:rPr>
      </w:pPr>
      <w:r w:rsidRPr="00DB5985">
        <w:rPr>
          <w:rFonts w:ascii="Times New Roman" w:hAnsi="Times New Roman" w:cs="Times New Roman"/>
        </w:rPr>
        <w:t>A critique of research designs and identification of methodological gaps, particularly the absence of quantitative, port-level studies.</w:t>
      </w:r>
    </w:p>
    <w:p w14:paraId="37F33012" w14:textId="5CF0B6E4" w:rsidR="00DB5985" w:rsidRPr="00DB5985" w:rsidRDefault="00DB5985" w:rsidP="00752CA8">
      <w:pPr>
        <w:numPr>
          <w:ilvl w:val="0"/>
          <w:numId w:val="1"/>
        </w:numPr>
        <w:spacing w:after="0" w:line="480" w:lineRule="auto"/>
        <w:rPr>
          <w:rFonts w:ascii="Times New Roman" w:hAnsi="Times New Roman" w:cs="Times New Roman"/>
        </w:rPr>
      </w:pPr>
      <w:r w:rsidRPr="00DB5985">
        <w:rPr>
          <w:rFonts w:ascii="Times New Roman" w:hAnsi="Times New Roman" w:cs="Times New Roman"/>
        </w:rPr>
        <w:t xml:space="preserve">A conclusion that </w:t>
      </w:r>
      <w:r w:rsidR="00752CA8" w:rsidRPr="00752CA8">
        <w:rPr>
          <w:rFonts w:ascii="Times New Roman" w:hAnsi="Times New Roman" w:cs="Times New Roman"/>
        </w:rPr>
        <w:t>synthesizes</w:t>
      </w:r>
      <w:r w:rsidRPr="00DB5985">
        <w:rPr>
          <w:rFonts w:ascii="Times New Roman" w:hAnsi="Times New Roman" w:cs="Times New Roman"/>
        </w:rPr>
        <w:t xml:space="preserve"> findings and argues for metrics-driven governance approaches in Caribbean terminals.</w:t>
      </w:r>
    </w:p>
    <w:p w14:paraId="0787F078" w14:textId="77777777" w:rsidR="00DB5985" w:rsidRPr="00DB5985" w:rsidRDefault="00DB5985" w:rsidP="00752CA8">
      <w:pPr>
        <w:spacing w:after="0" w:line="480" w:lineRule="auto"/>
        <w:rPr>
          <w:rFonts w:ascii="Times New Roman" w:hAnsi="Times New Roman" w:cs="Times New Roman"/>
        </w:rPr>
      </w:pPr>
      <w:r w:rsidRPr="00DB5985">
        <w:rPr>
          <w:rFonts w:ascii="Times New Roman" w:hAnsi="Times New Roman" w:cs="Times New Roman"/>
        </w:rPr>
        <w:t>Roadmap. The review proceeds in five parts. Section 2 examines general cloud security risks supported by quantitative industry data. Section 3 explores shipping-specific risks with reference to TOS, PCS, OT/IT convergence, and JDPA compliance. Section 4 contrasts optimistic and critical perspectives in the literature. Section 5 evaluates the research designs used in existing studies, highlighting strengths, limitations, and discrepancies. Section 6 concludes by identifying gaps and proposing a quantitative research agenda for KFTL and other regional ports.</w:t>
      </w:r>
    </w:p>
    <w:p w14:paraId="0520DB7A" w14:textId="545056F8" w:rsidR="00DB5985" w:rsidRPr="00DB5985" w:rsidRDefault="00DB5985" w:rsidP="00752CA8">
      <w:pPr>
        <w:spacing w:after="0" w:line="480" w:lineRule="auto"/>
        <w:rPr>
          <w:rFonts w:ascii="Times New Roman" w:hAnsi="Times New Roman" w:cs="Times New Roman"/>
        </w:rPr>
      </w:pPr>
    </w:p>
    <w:p w14:paraId="58908D6B" w14:textId="5EDED285" w:rsidR="00DB5985" w:rsidRPr="00DB5985" w:rsidRDefault="00DB5985" w:rsidP="00752CA8">
      <w:pPr>
        <w:spacing w:after="0" w:line="480" w:lineRule="auto"/>
        <w:rPr>
          <w:rFonts w:ascii="Times New Roman" w:hAnsi="Times New Roman" w:cs="Times New Roman"/>
          <w:b/>
          <w:bCs/>
        </w:rPr>
      </w:pPr>
      <w:r w:rsidRPr="00DB5985">
        <w:rPr>
          <w:rFonts w:ascii="Times New Roman" w:hAnsi="Times New Roman" w:cs="Times New Roman"/>
          <w:b/>
          <w:bCs/>
        </w:rPr>
        <w:t>General Cloud Security Risks</w:t>
      </w:r>
    </w:p>
    <w:p w14:paraId="3C8E2141" w14:textId="46B6A74F" w:rsidR="00DB5985" w:rsidRPr="00B10C71" w:rsidRDefault="00DB5985" w:rsidP="00B10C71">
      <w:pPr>
        <w:pStyle w:val="ListParagraph"/>
        <w:numPr>
          <w:ilvl w:val="0"/>
          <w:numId w:val="8"/>
        </w:numPr>
        <w:spacing w:after="0" w:line="480" w:lineRule="auto"/>
        <w:rPr>
          <w:rFonts w:ascii="Times New Roman" w:hAnsi="Times New Roman" w:cs="Times New Roman"/>
        </w:rPr>
      </w:pPr>
      <w:r w:rsidRPr="00752CA8">
        <w:rPr>
          <w:rFonts w:ascii="Times New Roman" w:hAnsi="Times New Roman" w:cs="Times New Roman"/>
        </w:rPr>
        <w:t xml:space="preserve">Identity &amp; access risk. </w:t>
      </w:r>
      <w:r w:rsidR="00B10C71" w:rsidRPr="00B10C71">
        <w:rPr>
          <w:rFonts w:ascii="Times New Roman" w:hAnsi="Times New Roman" w:cs="Times New Roman"/>
        </w:rPr>
        <w:t>Cloud identities, particularly non-human identities (NHIs), are increasing quickly</w:t>
      </w:r>
      <w:r w:rsidRPr="00B10C71">
        <w:rPr>
          <w:rFonts w:ascii="Times New Roman" w:hAnsi="Times New Roman" w:cs="Times New Roman"/>
        </w:rPr>
        <w:t>. Microsoft (2023) reports that workload identities now outnumber human identities at a ratio of 10:1, while CyberArk (2025) estimates over 80:1 in some enterprises. Poorly managed tokens and service accounts increase breach risk (Microsoft, 2023; CyberArk, 2025).</w:t>
      </w:r>
    </w:p>
    <w:p w14:paraId="339E9D38" w14:textId="77777777" w:rsidR="00DB5985" w:rsidRPr="00752CA8" w:rsidRDefault="00DB5985" w:rsidP="00752CA8">
      <w:pPr>
        <w:pStyle w:val="ListParagraph"/>
        <w:numPr>
          <w:ilvl w:val="0"/>
          <w:numId w:val="8"/>
        </w:numPr>
        <w:spacing w:after="0" w:line="480" w:lineRule="auto"/>
        <w:rPr>
          <w:rFonts w:ascii="Times New Roman" w:hAnsi="Times New Roman" w:cs="Times New Roman"/>
        </w:rPr>
      </w:pPr>
      <w:r w:rsidRPr="00752CA8">
        <w:rPr>
          <w:rFonts w:ascii="Times New Roman" w:hAnsi="Times New Roman" w:cs="Times New Roman"/>
        </w:rPr>
        <w:t>Misconfiguration &amp; multi-cloud complexity. ENISA (2023) highlights that misconfiguration accounts for nearly half of reported cloud incidents. Multi-cloud adoption magnifies configuration drift, creating governance challenges.</w:t>
      </w:r>
    </w:p>
    <w:p w14:paraId="670248AE" w14:textId="77777777" w:rsidR="00DB5985" w:rsidRPr="00752CA8" w:rsidRDefault="00DB5985" w:rsidP="00752CA8">
      <w:pPr>
        <w:pStyle w:val="ListParagraph"/>
        <w:numPr>
          <w:ilvl w:val="0"/>
          <w:numId w:val="8"/>
        </w:numPr>
        <w:spacing w:after="0" w:line="480" w:lineRule="auto"/>
        <w:rPr>
          <w:rFonts w:ascii="Times New Roman" w:hAnsi="Times New Roman" w:cs="Times New Roman"/>
        </w:rPr>
      </w:pPr>
      <w:r w:rsidRPr="00752CA8">
        <w:rPr>
          <w:rFonts w:ascii="Times New Roman" w:hAnsi="Times New Roman" w:cs="Times New Roman"/>
        </w:rPr>
        <w:t>Insecure APIs. OWASP (2023) identifies broken object-level authorization (BOLA), misconfigured authentication, and unsafe API consumption as critical risks. Gartner predicts API abuses will soon be the leading cause of cloud breaches.</w:t>
      </w:r>
    </w:p>
    <w:p w14:paraId="5DAB2528" w14:textId="77777777" w:rsidR="00DB5985" w:rsidRPr="00752CA8" w:rsidRDefault="00DB5985" w:rsidP="00752CA8">
      <w:pPr>
        <w:pStyle w:val="ListParagraph"/>
        <w:numPr>
          <w:ilvl w:val="0"/>
          <w:numId w:val="8"/>
        </w:numPr>
        <w:spacing w:after="0" w:line="480" w:lineRule="auto"/>
        <w:rPr>
          <w:rFonts w:ascii="Times New Roman" w:hAnsi="Times New Roman" w:cs="Times New Roman"/>
        </w:rPr>
      </w:pPr>
      <w:r w:rsidRPr="00752CA8">
        <w:rPr>
          <w:rFonts w:ascii="Times New Roman" w:hAnsi="Times New Roman" w:cs="Times New Roman"/>
        </w:rPr>
        <w:t>Ransomware and disruption. Sophos (2024) reports that 59% of organizations suffered ransomware in the prior year, with USD 2.73M median recovery costs and 56% of encrypted victims paying ransom. IBM (2023) finds ransomware breaches cost on average USD 5.13M, higher than the global average of USD 4.45M (IBM, 2023; Sophos, 2024).</w:t>
      </w:r>
    </w:p>
    <w:p w14:paraId="09BD6998" w14:textId="77777777" w:rsidR="00DB5985" w:rsidRPr="00752CA8" w:rsidRDefault="00DB5985" w:rsidP="00752CA8">
      <w:pPr>
        <w:pStyle w:val="ListParagraph"/>
        <w:numPr>
          <w:ilvl w:val="0"/>
          <w:numId w:val="8"/>
        </w:numPr>
        <w:spacing w:after="0" w:line="480" w:lineRule="auto"/>
        <w:rPr>
          <w:rFonts w:ascii="Times New Roman" w:hAnsi="Times New Roman" w:cs="Times New Roman"/>
        </w:rPr>
      </w:pPr>
      <w:r w:rsidRPr="00752CA8">
        <w:rPr>
          <w:rFonts w:ascii="Times New Roman" w:hAnsi="Times New Roman" w:cs="Times New Roman"/>
        </w:rPr>
        <w:t>Compliance and sovereignty. Standards such as ISO/IEC 27017 and the CSA Cloud Controls Matrix v4 clarify shared responsibility. Yet Pearson and Benameur (2019) argue compliance often lags behind technological change.</w:t>
      </w:r>
    </w:p>
    <w:p w14:paraId="42889B93" w14:textId="77777777" w:rsidR="00DB5985" w:rsidRPr="00DB5985" w:rsidRDefault="00DB5985" w:rsidP="00752CA8">
      <w:pPr>
        <w:spacing w:after="0" w:line="480" w:lineRule="auto"/>
        <w:rPr>
          <w:rFonts w:ascii="Times New Roman" w:hAnsi="Times New Roman" w:cs="Times New Roman"/>
        </w:rPr>
      </w:pPr>
      <w:r w:rsidRPr="00DB5985">
        <w:rPr>
          <w:rFonts w:ascii="Times New Roman" w:hAnsi="Times New Roman" w:cs="Times New Roman"/>
        </w:rPr>
        <w:t>Summary. Quantitative evidence confirms that identity sprawl, misconfigurations, APIs, ransomware, and sovereignty issues remain persistent, measurable cloud risks.</w:t>
      </w:r>
    </w:p>
    <w:p w14:paraId="5FAD99A5" w14:textId="20D394D2" w:rsidR="00DB5985" w:rsidRPr="00DB5985" w:rsidRDefault="00DB5985" w:rsidP="00752CA8">
      <w:pPr>
        <w:spacing w:after="0" w:line="480" w:lineRule="auto"/>
        <w:rPr>
          <w:rFonts w:ascii="Times New Roman" w:hAnsi="Times New Roman" w:cs="Times New Roman"/>
          <w:b/>
          <w:bCs/>
        </w:rPr>
      </w:pPr>
      <w:r w:rsidRPr="00DB5985">
        <w:rPr>
          <w:rFonts w:ascii="Times New Roman" w:hAnsi="Times New Roman" w:cs="Times New Roman"/>
          <w:b/>
          <w:bCs/>
        </w:rPr>
        <w:lastRenderedPageBreak/>
        <w:t>Cloud Security Risks in the Shipping Sector</w:t>
      </w:r>
    </w:p>
    <w:p w14:paraId="21EC2EED" w14:textId="77777777" w:rsidR="00DB5985" w:rsidRPr="00B42A12" w:rsidRDefault="00DB5985" w:rsidP="00B42A12">
      <w:pPr>
        <w:pStyle w:val="ListParagraph"/>
        <w:numPr>
          <w:ilvl w:val="0"/>
          <w:numId w:val="9"/>
        </w:numPr>
        <w:spacing w:after="0" w:line="480" w:lineRule="auto"/>
        <w:rPr>
          <w:rFonts w:ascii="Times New Roman" w:hAnsi="Times New Roman" w:cs="Times New Roman"/>
        </w:rPr>
      </w:pPr>
      <w:r w:rsidRPr="00B42A12">
        <w:rPr>
          <w:rFonts w:ascii="Times New Roman" w:hAnsi="Times New Roman" w:cs="Times New Roman"/>
        </w:rPr>
        <w:t>SaaS vendor dependency. TOS vendors such as Navis N4 increasingly offer cloud-hosted models. In June 2025, CISA issued ICSA-25-175-01, warning of vulnerabilities in Navis N4 and recommending TLS enforcement and DDoS protections (CISA, 2025). Such advisories show how SaaS risks cascade to terminals. For KFTL, vendor reliance also raises JDPA accountability questions.</w:t>
      </w:r>
    </w:p>
    <w:p w14:paraId="7CD107B8" w14:textId="77777777" w:rsidR="00DB5985" w:rsidRPr="00B42A12" w:rsidRDefault="00DB5985" w:rsidP="00B42A12">
      <w:pPr>
        <w:pStyle w:val="ListParagraph"/>
        <w:numPr>
          <w:ilvl w:val="0"/>
          <w:numId w:val="9"/>
        </w:numPr>
        <w:spacing w:after="0" w:line="480" w:lineRule="auto"/>
        <w:rPr>
          <w:rFonts w:ascii="Times New Roman" w:hAnsi="Times New Roman" w:cs="Times New Roman"/>
        </w:rPr>
      </w:pPr>
      <w:r w:rsidRPr="00B42A12">
        <w:rPr>
          <w:rFonts w:ascii="Times New Roman" w:hAnsi="Times New Roman" w:cs="Times New Roman"/>
        </w:rPr>
        <w:t>OT/IT convergence. Cranes, gate control, and yard equipment now integrate with cloud analytics and vendor-managed remote access. If cloud identity tokens are compromised, physical operations could be disrupted.</w:t>
      </w:r>
    </w:p>
    <w:p w14:paraId="7A2224F0" w14:textId="77777777" w:rsidR="00DB5985" w:rsidRPr="00B42A12" w:rsidRDefault="00DB5985" w:rsidP="00B42A12">
      <w:pPr>
        <w:pStyle w:val="ListParagraph"/>
        <w:numPr>
          <w:ilvl w:val="0"/>
          <w:numId w:val="9"/>
        </w:numPr>
        <w:spacing w:after="0" w:line="480" w:lineRule="auto"/>
        <w:rPr>
          <w:rFonts w:ascii="Times New Roman" w:hAnsi="Times New Roman" w:cs="Times New Roman"/>
        </w:rPr>
      </w:pPr>
      <w:r w:rsidRPr="00B42A12">
        <w:rPr>
          <w:rFonts w:ascii="Times New Roman" w:hAnsi="Times New Roman" w:cs="Times New Roman"/>
        </w:rPr>
        <w:t>Compliance under JDPA. The JDPA (2020) requires Data Protection Impact Assessments (DPIAs), breach notifications, and controls for cross-border data transfers. Ports like KFTL remain legally responsible even if foreign SaaS vendors process the data.</w:t>
      </w:r>
    </w:p>
    <w:p w14:paraId="0AEFF836" w14:textId="77777777" w:rsidR="00DB5985" w:rsidRPr="00B42A12" w:rsidRDefault="00DB5985" w:rsidP="00B42A12">
      <w:pPr>
        <w:pStyle w:val="ListParagraph"/>
        <w:numPr>
          <w:ilvl w:val="0"/>
          <w:numId w:val="9"/>
        </w:numPr>
        <w:spacing w:after="0" w:line="480" w:lineRule="auto"/>
        <w:rPr>
          <w:rFonts w:ascii="Times New Roman" w:hAnsi="Times New Roman" w:cs="Times New Roman"/>
        </w:rPr>
      </w:pPr>
      <w:r w:rsidRPr="00B42A12">
        <w:rPr>
          <w:rFonts w:ascii="Times New Roman" w:hAnsi="Times New Roman" w:cs="Times New Roman"/>
        </w:rPr>
        <w:t>Case study: Maersk (</w:t>
      </w:r>
      <w:proofErr w:type="spellStart"/>
      <w:r w:rsidRPr="00B42A12">
        <w:rPr>
          <w:rFonts w:ascii="Times New Roman" w:hAnsi="Times New Roman" w:cs="Times New Roman"/>
        </w:rPr>
        <w:t>NotPetya</w:t>
      </w:r>
      <w:proofErr w:type="spellEnd"/>
      <w:r w:rsidRPr="00B42A12">
        <w:rPr>
          <w:rFonts w:ascii="Times New Roman" w:hAnsi="Times New Roman" w:cs="Times New Roman"/>
        </w:rPr>
        <w:t>, 2017). While not cloud-specific, this incident cost USD 300M and disrupted TOS globally (Clavijo-Mesa et al., 2024). It underscores systemic risk when centralized digital systems fail.</w:t>
      </w:r>
    </w:p>
    <w:p w14:paraId="3311EE2F" w14:textId="73A21894" w:rsidR="00DB5985" w:rsidRPr="00B42A12" w:rsidRDefault="00DB5985" w:rsidP="00B42A12">
      <w:pPr>
        <w:pStyle w:val="ListParagraph"/>
        <w:numPr>
          <w:ilvl w:val="0"/>
          <w:numId w:val="9"/>
        </w:numPr>
        <w:spacing w:after="0" w:line="480" w:lineRule="auto"/>
        <w:rPr>
          <w:rFonts w:ascii="Times New Roman" w:hAnsi="Times New Roman" w:cs="Times New Roman"/>
        </w:rPr>
      </w:pPr>
      <w:r w:rsidRPr="00B42A12">
        <w:rPr>
          <w:rFonts w:ascii="Times New Roman" w:hAnsi="Times New Roman" w:cs="Times New Roman"/>
        </w:rPr>
        <w:t xml:space="preserve">Ransomware and DDoS in ports. Ports remain prime ransomware targets (e.g., Port of Shahid Rajaee, 2020). Cloud exposure increases attack surface. Even short SaaS outages could </w:t>
      </w:r>
      <w:r w:rsidR="00752CA8" w:rsidRPr="00B42A12">
        <w:rPr>
          <w:rFonts w:ascii="Times New Roman" w:hAnsi="Times New Roman" w:cs="Times New Roman"/>
        </w:rPr>
        <w:t>paralyze</w:t>
      </w:r>
      <w:r w:rsidRPr="00B42A12">
        <w:rPr>
          <w:rFonts w:ascii="Times New Roman" w:hAnsi="Times New Roman" w:cs="Times New Roman"/>
        </w:rPr>
        <w:t xml:space="preserve"> KFTL’s transshipment flows.</w:t>
      </w:r>
    </w:p>
    <w:p w14:paraId="51EB4E40" w14:textId="77777777" w:rsidR="00DB5985" w:rsidRPr="00B42A12" w:rsidRDefault="00DB5985" w:rsidP="00B42A12">
      <w:pPr>
        <w:pStyle w:val="ListParagraph"/>
        <w:numPr>
          <w:ilvl w:val="0"/>
          <w:numId w:val="9"/>
        </w:numPr>
        <w:spacing w:after="0" w:line="480" w:lineRule="auto"/>
        <w:rPr>
          <w:rFonts w:ascii="Times New Roman" w:hAnsi="Times New Roman" w:cs="Times New Roman"/>
        </w:rPr>
      </w:pPr>
      <w:r w:rsidRPr="00B42A12">
        <w:rPr>
          <w:rFonts w:ascii="Times New Roman" w:hAnsi="Times New Roman" w:cs="Times New Roman"/>
        </w:rPr>
        <w:t>Ecosystem and supply-chain risks. PCS involve carriers, truckers, customs, and freight forwarders. Breaches in any partner’s cloud service could expose port or trade data.</w:t>
      </w:r>
    </w:p>
    <w:p w14:paraId="4B25CA89" w14:textId="485E8126" w:rsidR="00DB5985" w:rsidRPr="00B42A12" w:rsidRDefault="00DB5985" w:rsidP="00B42A12">
      <w:pPr>
        <w:pStyle w:val="ListParagraph"/>
        <w:numPr>
          <w:ilvl w:val="0"/>
          <w:numId w:val="9"/>
        </w:numPr>
        <w:spacing w:after="0" w:line="480" w:lineRule="auto"/>
        <w:rPr>
          <w:rFonts w:ascii="Times New Roman" w:hAnsi="Times New Roman" w:cs="Times New Roman"/>
        </w:rPr>
      </w:pPr>
      <w:r w:rsidRPr="00B42A12">
        <w:rPr>
          <w:rFonts w:ascii="Times New Roman" w:hAnsi="Times New Roman" w:cs="Times New Roman"/>
        </w:rPr>
        <w:t>Concentration risks</w:t>
      </w:r>
      <w:r w:rsidR="00752CA8" w:rsidRPr="00B42A12">
        <w:rPr>
          <w:rFonts w:ascii="Times New Roman" w:hAnsi="Times New Roman" w:cs="Times New Roman"/>
        </w:rPr>
        <w:t xml:space="preserve">. Most maritime SaaS vendors run on one of the major </w:t>
      </w:r>
      <w:proofErr w:type="spellStart"/>
      <w:r w:rsidR="00752CA8" w:rsidRPr="00B42A12">
        <w:rPr>
          <w:rFonts w:ascii="Times New Roman" w:hAnsi="Times New Roman" w:cs="Times New Roman"/>
          <w:i/>
          <w:iCs/>
        </w:rPr>
        <w:t>hyperscalers</w:t>
      </w:r>
      <w:proofErr w:type="spellEnd"/>
      <w:r w:rsidR="00752CA8" w:rsidRPr="00B42A12">
        <w:rPr>
          <w:rFonts w:ascii="Times New Roman" w:hAnsi="Times New Roman" w:cs="Times New Roman"/>
          <w:i/>
          <w:iCs/>
        </w:rPr>
        <w:t>,</w:t>
      </w:r>
      <w:r w:rsidR="00752CA8" w:rsidRPr="00B42A12">
        <w:rPr>
          <w:rFonts w:ascii="Times New Roman" w:hAnsi="Times New Roman" w:cs="Times New Roman"/>
        </w:rPr>
        <w:t xml:space="preserve"> which large global cloud providers such as Amazon Web Services (AWS), Microsoft Azure, or Google Cloud Platform (GCP), whose massive, globally distributed </w:t>
      </w:r>
      <w:r w:rsidR="00752CA8" w:rsidRPr="00B42A12">
        <w:rPr>
          <w:rFonts w:ascii="Times New Roman" w:hAnsi="Times New Roman" w:cs="Times New Roman"/>
        </w:rPr>
        <w:lastRenderedPageBreak/>
        <w:t xml:space="preserve">infrastructures deliver compute and storage at scale. While these platforms offer strong resilience, their dominance creates systemic fragility. Outages or vulnerabilities at a </w:t>
      </w:r>
      <w:proofErr w:type="spellStart"/>
      <w:r w:rsidR="00752CA8" w:rsidRPr="00B42A12">
        <w:rPr>
          <w:rFonts w:ascii="Times New Roman" w:hAnsi="Times New Roman" w:cs="Times New Roman"/>
        </w:rPr>
        <w:t>hyperscaler</w:t>
      </w:r>
      <w:proofErr w:type="spellEnd"/>
      <w:r w:rsidR="00752CA8" w:rsidRPr="00B42A12">
        <w:rPr>
          <w:rFonts w:ascii="Times New Roman" w:hAnsi="Times New Roman" w:cs="Times New Roman"/>
        </w:rPr>
        <w:t xml:space="preserve"> could simultaneously disrupt multiple ports, a disproportionate threat for small economies like Jamaica.</w:t>
      </w:r>
    </w:p>
    <w:p w14:paraId="03D7C915" w14:textId="7000F7DB" w:rsidR="00DB5985" w:rsidRPr="00DB5985" w:rsidRDefault="00DB5985" w:rsidP="00752CA8">
      <w:pPr>
        <w:spacing w:after="0" w:line="480" w:lineRule="auto"/>
        <w:rPr>
          <w:rFonts w:ascii="Times New Roman" w:hAnsi="Times New Roman" w:cs="Times New Roman"/>
        </w:rPr>
      </w:pPr>
    </w:p>
    <w:p w14:paraId="0849DFE8" w14:textId="7446A024" w:rsidR="00DB5985" w:rsidRPr="00DB5985" w:rsidRDefault="00DB5985" w:rsidP="00752CA8">
      <w:pPr>
        <w:spacing w:after="0" w:line="480" w:lineRule="auto"/>
        <w:rPr>
          <w:rFonts w:ascii="Times New Roman" w:hAnsi="Times New Roman" w:cs="Times New Roman"/>
          <w:b/>
          <w:bCs/>
        </w:rPr>
      </w:pPr>
      <w:r w:rsidRPr="00DB5985">
        <w:rPr>
          <w:rFonts w:ascii="Times New Roman" w:hAnsi="Times New Roman" w:cs="Times New Roman"/>
          <w:b/>
          <w:bCs/>
        </w:rPr>
        <w:t>Critical Comparison of Perspectives</w:t>
      </w:r>
    </w:p>
    <w:p w14:paraId="151F8061" w14:textId="77777777" w:rsidR="00DB5985" w:rsidRPr="00B42A12" w:rsidRDefault="00DB5985" w:rsidP="00B42A12">
      <w:pPr>
        <w:pStyle w:val="ListParagraph"/>
        <w:numPr>
          <w:ilvl w:val="0"/>
          <w:numId w:val="10"/>
        </w:numPr>
        <w:spacing w:after="0" w:line="480" w:lineRule="auto"/>
        <w:rPr>
          <w:rFonts w:ascii="Times New Roman" w:hAnsi="Times New Roman" w:cs="Times New Roman"/>
        </w:rPr>
      </w:pPr>
      <w:r w:rsidRPr="00B42A12">
        <w:rPr>
          <w:rFonts w:ascii="Times New Roman" w:hAnsi="Times New Roman" w:cs="Times New Roman"/>
        </w:rPr>
        <w:t xml:space="preserve">Cloud as resilience enabler. ENISA (2023) and industry reports highlight how </w:t>
      </w:r>
      <w:proofErr w:type="spellStart"/>
      <w:r w:rsidRPr="00B42A12">
        <w:rPr>
          <w:rFonts w:ascii="Times New Roman" w:hAnsi="Times New Roman" w:cs="Times New Roman"/>
        </w:rPr>
        <w:t>hyperscalers</w:t>
      </w:r>
      <w:proofErr w:type="spellEnd"/>
      <w:r w:rsidRPr="00B42A12">
        <w:rPr>
          <w:rFonts w:ascii="Times New Roman" w:hAnsi="Times New Roman" w:cs="Times New Roman"/>
        </w:rPr>
        <w:t xml:space="preserve"> deliver redundancy, advanced DDoS defenses, and faster disaster recovery. Ports with constrained IT budgets (e.g., in the Caribbean) can benefit from access to enterprise-grade controls.</w:t>
      </w:r>
    </w:p>
    <w:p w14:paraId="748CCC72" w14:textId="77777777" w:rsidR="00DB5985" w:rsidRPr="00B42A12" w:rsidRDefault="00DB5985" w:rsidP="00B42A12">
      <w:pPr>
        <w:pStyle w:val="ListParagraph"/>
        <w:numPr>
          <w:ilvl w:val="0"/>
          <w:numId w:val="10"/>
        </w:numPr>
        <w:spacing w:after="0" w:line="480" w:lineRule="auto"/>
        <w:rPr>
          <w:rFonts w:ascii="Times New Roman" w:hAnsi="Times New Roman" w:cs="Times New Roman"/>
        </w:rPr>
      </w:pPr>
      <w:r w:rsidRPr="00B42A12">
        <w:rPr>
          <w:rFonts w:ascii="Times New Roman" w:hAnsi="Times New Roman" w:cs="Times New Roman"/>
        </w:rPr>
        <w:t xml:space="preserve">Cloud as concentration risk. Conversely, CSA (2024) and CISA advisories emphasize persistent misconfigurations and SaaS vulnerabilities. Accountability remains with the customer under the shared responsibility model. Critics also highlight systemic fragility from </w:t>
      </w:r>
      <w:proofErr w:type="spellStart"/>
      <w:r w:rsidRPr="00B42A12">
        <w:rPr>
          <w:rFonts w:ascii="Times New Roman" w:hAnsi="Times New Roman" w:cs="Times New Roman"/>
        </w:rPr>
        <w:t>hyperscaler</w:t>
      </w:r>
      <w:proofErr w:type="spellEnd"/>
      <w:r w:rsidRPr="00B42A12">
        <w:rPr>
          <w:rFonts w:ascii="Times New Roman" w:hAnsi="Times New Roman" w:cs="Times New Roman"/>
        </w:rPr>
        <w:t xml:space="preserve"> dominance.</w:t>
      </w:r>
    </w:p>
    <w:p w14:paraId="588C2EFE" w14:textId="77777777" w:rsidR="00DB5985" w:rsidRPr="00B42A12" w:rsidRDefault="00DB5985" w:rsidP="00B42A12">
      <w:pPr>
        <w:pStyle w:val="ListParagraph"/>
        <w:numPr>
          <w:ilvl w:val="0"/>
          <w:numId w:val="10"/>
        </w:numPr>
        <w:spacing w:after="0" w:line="480" w:lineRule="auto"/>
        <w:rPr>
          <w:rFonts w:ascii="Times New Roman" w:hAnsi="Times New Roman" w:cs="Times New Roman"/>
        </w:rPr>
      </w:pPr>
      <w:r w:rsidRPr="00B42A12">
        <w:rPr>
          <w:rFonts w:ascii="Times New Roman" w:hAnsi="Times New Roman" w:cs="Times New Roman"/>
        </w:rPr>
        <w:t>Regulatory frameworks. IMO (2025) and BIMCO (2024) provide broad guidance, but lack cloud-specific metrics. CSA CCM and ISO/IEC 27017 offer more detailed controls. Ports must reconcile these layers with JDPA requirements.</w:t>
      </w:r>
    </w:p>
    <w:p w14:paraId="14F3B09A" w14:textId="77777777" w:rsidR="00DB5985" w:rsidRPr="00B42A12" w:rsidRDefault="00DB5985" w:rsidP="00B42A12">
      <w:pPr>
        <w:pStyle w:val="ListParagraph"/>
        <w:numPr>
          <w:ilvl w:val="0"/>
          <w:numId w:val="10"/>
        </w:numPr>
        <w:spacing w:after="0" w:line="480" w:lineRule="auto"/>
        <w:rPr>
          <w:rFonts w:ascii="Times New Roman" w:hAnsi="Times New Roman" w:cs="Times New Roman"/>
        </w:rPr>
      </w:pPr>
      <w:r w:rsidRPr="00B42A12">
        <w:rPr>
          <w:rFonts w:ascii="Times New Roman" w:hAnsi="Times New Roman" w:cs="Times New Roman"/>
        </w:rPr>
        <w:t>Evaluation. The optimistic view values cloud resilience benefits, while the critical view warns of systemic exposure. A balanced interpretation is that outcomes depend on measurable governance maturity and port-specific risk metrics.</w:t>
      </w:r>
    </w:p>
    <w:p w14:paraId="12C58617" w14:textId="77777777" w:rsidR="007313E5" w:rsidRDefault="007313E5">
      <w:pPr>
        <w:rPr>
          <w:rFonts w:ascii="Times New Roman" w:hAnsi="Times New Roman" w:cs="Times New Roman"/>
          <w:b/>
          <w:bCs/>
        </w:rPr>
      </w:pPr>
      <w:r>
        <w:rPr>
          <w:rFonts w:ascii="Times New Roman" w:hAnsi="Times New Roman" w:cs="Times New Roman"/>
          <w:b/>
          <w:bCs/>
        </w:rPr>
        <w:br w:type="page"/>
      </w:r>
    </w:p>
    <w:p w14:paraId="7178AC96" w14:textId="7F163A3F" w:rsidR="00DB5985" w:rsidRPr="00DB5985" w:rsidRDefault="00DB5985" w:rsidP="00752CA8">
      <w:pPr>
        <w:spacing w:after="0" w:line="480" w:lineRule="auto"/>
        <w:rPr>
          <w:rFonts w:ascii="Times New Roman" w:hAnsi="Times New Roman" w:cs="Times New Roman"/>
          <w:b/>
          <w:bCs/>
        </w:rPr>
      </w:pPr>
      <w:r w:rsidRPr="00DB5985">
        <w:rPr>
          <w:rFonts w:ascii="Times New Roman" w:hAnsi="Times New Roman" w:cs="Times New Roman"/>
          <w:b/>
          <w:bCs/>
        </w:rPr>
        <w:lastRenderedPageBreak/>
        <w:t xml:space="preserve">Research Design &amp; </w:t>
      </w:r>
      <w:r w:rsidR="005F4698" w:rsidRPr="00752CA8">
        <w:rPr>
          <w:rFonts w:ascii="Times New Roman" w:hAnsi="Times New Roman" w:cs="Times New Roman"/>
          <w:b/>
          <w:bCs/>
        </w:rPr>
        <w:t>Gaps</w:t>
      </w:r>
    </w:p>
    <w:p w14:paraId="3D81F0C7" w14:textId="77777777" w:rsidR="00DB5985" w:rsidRPr="00DB5985" w:rsidRDefault="00DB5985" w:rsidP="00752CA8">
      <w:pPr>
        <w:spacing w:after="0" w:line="480" w:lineRule="auto"/>
        <w:rPr>
          <w:rFonts w:ascii="Times New Roman" w:hAnsi="Times New Roman" w:cs="Times New Roman"/>
        </w:rPr>
      </w:pPr>
      <w:r w:rsidRPr="00DB5985">
        <w:rPr>
          <w:rFonts w:ascii="Times New Roman" w:hAnsi="Times New Roman" w:cs="Times New Roman"/>
        </w:rPr>
        <w:t>Strengths of existing literature.</w:t>
      </w:r>
    </w:p>
    <w:p w14:paraId="3CFEC68E" w14:textId="77777777" w:rsidR="00DB5985" w:rsidRPr="00DB5985" w:rsidRDefault="00DB5985" w:rsidP="00752CA8">
      <w:pPr>
        <w:numPr>
          <w:ilvl w:val="0"/>
          <w:numId w:val="2"/>
        </w:numPr>
        <w:spacing w:after="0" w:line="480" w:lineRule="auto"/>
        <w:rPr>
          <w:rFonts w:ascii="Times New Roman" w:hAnsi="Times New Roman" w:cs="Times New Roman"/>
        </w:rPr>
      </w:pPr>
      <w:r w:rsidRPr="00DB5985">
        <w:rPr>
          <w:rFonts w:ascii="Times New Roman" w:hAnsi="Times New Roman" w:cs="Times New Roman"/>
        </w:rPr>
        <w:t>Strong quantitative evidence on breach costs, ransomware prevalence, and insider threats (IBM, 2023; Sophos, 2024).</w:t>
      </w:r>
    </w:p>
    <w:p w14:paraId="1513FB46" w14:textId="77777777" w:rsidR="00DB5985" w:rsidRPr="00DB5985" w:rsidRDefault="00DB5985" w:rsidP="00752CA8">
      <w:pPr>
        <w:numPr>
          <w:ilvl w:val="0"/>
          <w:numId w:val="2"/>
        </w:numPr>
        <w:spacing w:after="0" w:line="480" w:lineRule="auto"/>
        <w:rPr>
          <w:rFonts w:ascii="Times New Roman" w:hAnsi="Times New Roman" w:cs="Times New Roman"/>
        </w:rPr>
      </w:pPr>
      <w:r w:rsidRPr="00DB5985">
        <w:rPr>
          <w:rFonts w:ascii="Times New Roman" w:hAnsi="Times New Roman" w:cs="Times New Roman"/>
        </w:rPr>
        <w:t>Well-established control frameworks (CSA CCM v4, ISO/IEC 27017).</w:t>
      </w:r>
    </w:p>
    <w:p w14:paraId="3A9B5D0F" w14:textId="77777777" w:rsidR="00DB5985" w:rsidRPr="00DB5985" w:rsidRDefault="00DB5985" w:rsidP="00752CA8">
      <w:pPr>
        <w:spacing w:after="0" w:line="480" w:lineRule="auto"/>
        <w:rPr>
          <w:rFonts w:ascii="Times New Roman" w:hAnsi="Times New Roman" w:cs="Times New Roman"/>
        </w:rPr>
      </w:pPr>
      <w:r w:rsidRPr="00DB5985">
        <w:rPr>
          <w:rFonts w:ascii="Times New Roman" w:hAnsi="Times New Roman" w:cs="Times New Roman"/>
        </w:rPr>
        <w:t>Limitations.</w:t>
      </w:r>
    </w:p>
    <w:p w14:paraId="754DDDDD" w14:textId="77777777" w:rsidR="00DB5985" w:rsidRPr="00DB5985" w:rsidRDefault="00DB5985" w:rsidP="00752CA8">
      <w:pPr>
        <w:numPr>
          <w:ilvl w:val="0"/>
          <w:numId w:val="3"/>
        </w:numPr>
        <w:spacing w:after="0" w:line="480" w:lineRule="auto"/>
        <w:rPr>
          <w:rFonts w:ascii="Times New Roman" w:hAnsi="Times New Roman" w:cs="Times New Roman"/>
        </w:rPr>
      </w:pPr>
      <w:r w:rsidRPr="00DB5985">
        <w:rPr>
          <w:rFonts w:ascii="Times New Roman" w:hAnsi="Times New Roman" w:cs="Times New Roman"/>
        </w:rPr>
        <w:t>Lack of shipping-specific, quantitative studies linking cloud incidents to operational KPIs.</w:t>
      </w:r>
    </w:p>
    <w:p w14:paraId="47456A2F" w14:textId="77777777" w:rsidR="00DB5985" w:rsidRPr="00DB5985" w:rsidRDefault="00DB5985" w:rsidP="00752CA8">
      <w:pPr>
        <w:numPr>
          <w:ilvl w:val="0"/>
          <w:numId w:val="3"/>
        </w:numPr>
        <w:spacing w:after="0" w:line="480" w:lineRule="auto"/>
        <w:rPr>
          <w:rFonts w:ascii="Times New Roman" w:hAnsi="Times New Roman" w:cs="Times New Roman"/>
        </w:rPr>
      </w:pPr>
      <w:r w:rsidRPr="00DB5985">
        <w:rPr>
          <w:rFonts w:ascii="Times New Roman" w:hAnsi="Times New Roman" w:cs="Times New Roman"/>
        </w:rPr>
        <w:t>Compliance research dominated by GDPR/EU; minimal analysis of JDPA.</w:t>
      </w:r>
    </w:p>
    <w:p w14:paraId="4D077380" w14:textId="77777777" w:rsidR="00DB5985" w:rsidRPr="00DB5985" w:rsidRDefault="00DB5985" w:rsidP="00752CA8">
      <w:pPr>
        <w:numPr>
          <w:ilvl w:val="0"/>
          <w:numId w:val="3"/>
        </w:numPr>
        <w:spacing w:after="0" w:line="480" w:lineRule="auto"/>
        <w:rPr>
          <w:rFonts w:ascii="Times New Roman" w:hAnsi="Times New Roman" w:cs="Times New Roman"/>
        </w:rPr>
      </w:pPr>
      <w:r w:rsidRPr="00DB5985">
        <w:rPr>
          <w:rFonts w:ascii="Times New Roman" w:hAnsi="Times New Roman" w:cs="Times New Roman"/>
        </w:rPr>
        <w:t>Over-reliance on global surveys; Caribbean contexts underrepresented.</w:t>
      </w:r>
    </w:p>
    <w:p w14:paraId="31E6DAF4" w14:textId="77777777" w:rsidR="00DB5985" w:rsidRPr="00DB5985" w:rsidRDefault="00DB5985" w:rsidP="00752CA8">
      <w:pPr>
        <w:spacing w:after="0" w:line="480" w:lineRule="auto"/>
        <w:rPr>
          <w:rFonts w:ascii="Times New Roman" w:hAnsi="Times New Roman" w:cs="Times New Roman"/>
        </w:rPr>
      </w:pPr>
      <w:r w:rsidRPr="00DB5985">
        <w:rPr>
          <w:rFonts w:ascii="Times New Roman" w:hAnsi="Times New Roman" w:cs="Times New Roman"/>
        </w:rPr>
        <w:t>Discrepancies.</w:t>
      </w:r>
    </w:p>
    <w:p w14:paraId="006A9A3C" w14:textId="77777777" w:rsidR="00DB5985" w:rsidRPr="00DB5985" w:rsidRDefault="00DB5985" w:rsidP="00752CA8">
      <w:pPr>
        <w:numPr>
          <w:ilvl w:val="0"/>
          <w:numId w:val="4"/>
        </w:numPr>
        <w:spacing w:after="0" w:line="480" w:lineRule="auto"/>
        <w:rPr>
          <w:rFonts w:ascii="Times New Roman" w:hAnsi="Times New Roman" w:cs="Times New Roman"/>
        </w:rPr>
      </w:pPr>
      <w:r w:rsidRPr="00DB5985">
        <w:rPr>
          <w:rFonts w:ascii="Times New Roman" w:hAnsi="Times New Roman" w:cs="Times New Roman"/>
        </w:rPr>
        <w:t>ENISA (2023) emphasizes misconfigurations, while CSA (2024) prioritizes identity risk.</w:t>
      </w:r>
    </w:p>
    <w:p w14:paraId="14ABB03D" w14:textId="77777777" w:rsidR="00DB5985" w:rsidRPr="00DB5985" w:rsidRDefault="00DB5985" w:rsidP="00752CA8">
      <w:pPr>
        <w:numPr>
          <w:ilvl w:val="0"/>
          <w:numId w:val="4"/>
        </w:numPr>
        <w:spacing w:after="0" w:line="480" w:lineRule="auto"/>
        <w:rPr>
          <w:rFonts w:ascii="Times New Roman" w:hAnsi="Times New Roman" w:cs="Times New Roman"/>
        </w:rPr>
      </w:pPr>
      <w:r w:rsidRPr="00DB5985">
        <w:rPr>
          <w:rFonts w:ascii="Times New Roman" w:hAnsi="Times New Roman" w:cs="Times New Roman"/>
        </w:rPr>
        <w:t>Some maritime case studies stress operational resilience, others highlight systemic fragility (e.g., Maersk vs. Port of LA CRC).</w:t>
      </w:r>
    </w:p>
    <w:p w14:paraId="1994CFBB" w14:textId="77777777" w:rsidR="00DB5985" w:rsidRPr="00DB5985" w:rsidRDefault="00DB5985" w:rsidP="00752CA8">
      <w:pPr>
        <w:spacing w:after="0" w:line="480" w:lineRule="auto"/>
        <w:rPr>
          <w:rFonts w:ascii="Times New Roman" w:hAnsi="Times New Roman" w:cs="Times New Roman"/>
        </w:rPr>
      </w:pPr>
      <w:r w:rsidRPr="00DB5985">
        <w:rPr>
          <w:rFonts w:ascii="Times New Roman" w:hAnsi="Times New Roman" w:cs="Times New Roman"/>
        </w:rPr>
        <w:t>Future quantitative agenda.</w:t>
      </w:r>
    </w:p>
    <w:p w14:paraId="7CF2076B" w14:textId="77777777" w:rsidR="00DB5985" w:rsidRPr="00DB5985" w:rsidRDefault="00DB5985" w:rsidP="00752CA8">
      <w:pPr>
        <w:numPr>
          <w:ilvl w:val="0"/>
          <w:numId w:val="5"/>
        </w:numPr>
        <w:spacing w:after="0" w:line="480" w:lineRule="auto"/>
        <w:rPr>
          <w:rFonts w:ascii="Times New Roman" w:hAnsi="Times New Roman" w:cs="Times New Roman"/>
        </w:rPr>
      </w:pPr>
      <w:r w:rsidRPr="00DB5985">
        <w:rPr>
          <w:rFonts w:ascii="Times New Roman" w:hAnsi="Times New Roman" w:cs="Times New Roman"/>
        </w:rPr>
        <w:t>Incident frequency baselines for PCS/</w:t>
      </w:r>
      <w:proofErr w:type="gramStart"/>
      <w:r w:rsidRPr="00DB5985">
        <w:rPr>
          <w:rFonts w:ascii="Times New Roman" w:hAnsi="Times New Roman" w:cs="Times New Roman"/>
        </w:rPr>
        <w:t>TOS</w:t>
      </w:r>
      <w:proofErr w:type="gramEnd"/>
      <w:r w:rsidRPr="00DB5985">
        <w:rPr>
          <w:rFonts w:ascii="Times New Roman" w:hAnsi="Times New Roman" w:cs="Times New Roman"/>
        </w:rPr>
        <w:t xml:space="preserve"> cloud disruptions.</w:t>
      </w:r>
    </w:p>
    <w:p w14:paraId="6C138B31" w14:textId="77777777" w:rsidR="00DB5985" w:rsidRPr="00DB5985" w:rsidRDefault="00DB5985" w:rsidP="00752CA8">
      <w:pPr>
        <w:numPr>
          <w:ilvl w:val="0"/>
          <w:numId w:val="5"/>
        </w:numPr>
        <w:spacing w:after="0" w:line="480" w:lineRule="auto"/>
        <w:rPr>
          <w:rFonts w:ascii="Times New Roman" w:hAnsi="Times New Roman" w:cs="Times New Roman"/>
        </w:rPr>
      </w:pPr>
      <w:r w:rsidRPr="00DB5985">
        <w:rPr>
          <w:rFonts w:ascii="Times New Roman" w:hAnsi="Times New Roman" w:cs="Times New Roman"/>
        </w:rPr>
        <w:t>Resilience modelling (Monte Carlo simulation of downtime).</w:t>
      </w:r>
    </w:p>
    <w:p w14:paraId="44CFCE03" w14:textId="2C95D0D7" w:rsidR="00DB5985" w:rsidRPr="00DB5985" w:rsidRDefault="00DB5985" w:rsidP="00752CA8">
      <w:pPr>
        <w:numPr>
          <w:ilvl w:val="0"/>
          <w:numId w:val="5"/>
        </w:numPr>
        <w:spacing w:after="0" w:line="480" w:lineRule="auto"/>
        <w:rPr>
          <w:rFonts w:ascii="Times New Roman" w:hAnsi="Times New Roman" w:cs="Times New Roman"/>
        </w:rPr>
      </w:pPr>
      <w:r w:rsidRPr="00DB5985">
        <w:rPr>
          <w:rFonts w:ascii="Times New Roman" w:hAnsi="Times New Roman" w:cs="Times New Roman"/>
        </w:rPr>
        <w:t>Identity sprawl metrics (ratio of human:</w:t>
      </w:r>
      <w:r w:rsidR="00752CA8" w:rsidRPr="00752CA8">
        <w:rPr>
          <w:rFonts w:ascii="Times New Roman" w:hAnsi="Times New Roman" w:cs="Times New Roman"/>
        </w:rPr>
        <w:t xml:space="preserve"> </w:t>
      </w:r>
      <w:r w:rsidRPr="00DB5985">
        <w:rPr>
          <w:rFonts w:ascii="Times New Roman" w:hAnsi="Times New Roman" w:cs="Times New Roman"/>
        </w:rPr>
        <w:t>NHI accounts, rotation intervals).</w:t>
      </w:r>
    </w:p>
    <w:p w14:paraId="731F22A0" w14:textId="77777777" w:rsidR="00DB5985" w:rsidRPr="00DB5985" w:rsidRDefault="00DB5985" w:rsidP="00752CA8">
      <w:pPr>
        <w:numPr>
          <w:ilvl w:val="0"/>
          <w:numId w:val="5"/>
        </w:numPr>
        <w:spacing w:after="0" w:line="480" w:lineRule="auto"/>
        <w:rPr>
          <w:rFonts w:ascii="Times New Roman" w:hAnsi="Times New Roman" w:cs="Times New Roman"/>
        </w:rPr>
      </w:pPr>
      <w:r w:rsidRPr="00DB5985">
        <w:rPr>
          <w:rFonts w:ascii="Times New Roman" w:hAnsi="Times New Roman" w:cs="Times New Roman"/>
        </w:rPr>
        <w:t>JDPA compliance benchmarking (DPIA adoption, breach notification times).</w:t>
      </w:r>
    </w:p>
    <w:p w14:paraId="0C8056A7" w14:textId="77777777" w:rsidR="00DB5985" w:rsidRPr="00DB5985" w:rsidRDefault="00DB5985" w:rsidP="00752CA8">
      <w:pPr>
        <w:numPr>
          <w:ilvl w:val="0"/>
          <w:numId w:val="5"/>
        </w:numPr>
        <w:spacing w:after="0" w:line="480" w:lineRule="auto"/>
        <w:rPr>
          <w:rFonts w:ascii="Times New Roman" w:hAnsi="Times New Roman" w:cs="Times New Roman"/>
        </w:rPr>
      </w:pPr>
      <w:r w:rsidRPr="00DB5985">
        <w:rPr>
          <w:rFonts w:ascii="Times New Roman" w:hAnsi="Times New Roman" w:cs="Times New Roman"/>
        </w:rPr>
        <w:t>Cost-impact regressions linking cloud incidents to shipping delays, demurrage, and reputational loss.</w:t>
      </w:r>
    </w:p>
    <w:p w14:paraId="32890854" w14:textId="4C720438" w:rsidR="00DB5985" w:rsidRPr="00DB5985" w:rsidRDefault="00DB5985" w:rsidP="00752CA8">
      <w:pPr>
        <w:spacing w:after="0" w:line="480" w:lineRule="auto"/>
        <w:rPr>
          <w:rFonts w:ascii="Times New Roman" w:hAnsi="Times New Roman" w:cs="Times New Roman"/>
        </w:rPr>
      </w:pPr>
    </w:p>
    <w:p w14:paraId="1CC258FE" w14:textId="77777777" w:rsidR="00752CA8" w:rsidRDefault="00752CA8">
      <w:pPr>
        <w:rPr>
          <w:rFonts w:ascii="Times New Roman" w:hAnsi="Times New Roman" w:cs="Times New Roman"/>
        </w:rPr>
      </w:pPr>
      <w:r>
        <w:rPr>
          <w:rFonts w:ascii="Times New Roman" w:hAnsi="Times New Roman" w:cs="Times New Roman"/>
        </w:rPr>
        <w:br w:type="page"/>
      </w:r>
    </w:p>
    <w:p w14:paraId="4E11592E" w14:textId="3D590FDD" w:rsidR="00DB5985" w:rsidRPr="00DB5985" w:rsidRDefault="00DB5985" w:rsidP="00752CA8">
      <w:pPr>
        <w:spacing w:after="0" w:line="480" w:lineRule="auto"/>
        <w:rPr>
          <w:rFonts w:ascii="Times New Roman" w:hAnsi="Times New Roman" w:cs="Times New Roman"/>
          <w:b/>
          <w:bCs/>
        </w:rPr>
      </w:pPr>
      <w:r w:rsidRPr="00DB5985">
        <w:rPr>
          <w:rFonts w:ascii="Times New Roman" w:hAnsi="Times New Roman" w:cs="Times New Roman"/>
          <w:b/>
          <w:bCs/>
        </w:rPr>
        <w:lastRenderedPageBreak/>
        <w:t>Conclusion</w:t>
      </w:r>
    </w:p>
    <w:p w14:paraId="0A970B50" w14:textId="77777777" w:rsidR="00DB5985" w:rsidRPr="00DB5985" w:rsidRDefault="00DB5985" w:rsidP="00752CA8">
      <w:pPr>
        <w:spacing w:after="0" w:line="480" w:lineRule="auto"/>
        <w:ind w:firstLine="720"/>
        <w:rPr>
          <w:rFonts w:ascii="Times New Roman" w:hAnsi="Times New Roman" w:cs="Times New Roman"/>
        </w:rPr>
      </w:pPr>
      <w:r w:rsidRPr="00DB5985">
        <w:rPr>
          <w:rFonts w:ascii="Times New Roman" w:hAnsi="Times New Roman" w:cs="Times New Roman"/>
        </w:rPr>
        <w:t>Quantitative evidence shows that identity sprawl, misconfigurations, ransomware, and SaaS dependency remain the most pressing risks, with misconfigurations accounting for nearly half of incidents (ENISA, 2023), ransomware recovery costs averaging USD 2.73M (Sophos, 2024), and non-human identities outnumbering human accounts by 10–80:1 (Microsoft, 2023; CyberArk, 2025).</w:t>
      </w:r>
    </w:p>
    <w:p w14:paraId="5F99A81E" w14:textId="77777777" w:rsidR="00DB5985" w:rsidRPr="00DB5985" w:rsidRDefault="00DB5985" w:rsidP="00752CA8">
      <w:pPr>
        <w:spacing w:after="0" w:line="480" w:lineRule="auto"/>
        <w:ind w:firstLine="720"/>
        <w:rPr>
          <w:rFonts w:ascii="Times New Roman" w:hAnsi="Times New Roman" w:cs="Times New Roman"/>
        </w:rPr>
      </w:pPr>
      <w:r w:rsidRPr="00DB5985">
        <w:rPr>
          <w:rFonts w:ascii="Times New Roman" w:hAnsi="Times New Roman" w:cs="Times New Roman"/>
        </w:rPr>
        <w:t>For the shipping sector, these risks are magnified by SaaS reliance, OT/IT convergence, and ecosystem dependencies. The JDPA (2020) imposes compliance obligations that ports like KFTL must quantify through metrics such as DPIA adoption rates and breach response times.</w:t>
      </w:r>
    </w:p>
    <w:p w14:paraId="24D37F9C" w14:textId="28F08357" w:rsidR="00DB5985" w:rsidRPr="00DB5985" w:rsidRDefault="00DB5985" w:rsidP="00752CA8">
      <w:pPr>
        <w:spacing w:after="0" w:line="480" w:lineRule="auto"/>
        <w:ind w:firstLine="720"/>
        <w:rPr>
          <w:rFonts w:ascii="Times New Roman" w:hAnsi="Times New Roman" w:cs="Times New Roman"/>
        </w:rPr>
      </w:pPr>
      <w:r w:rsidRPr="00DB5985">
        <w:rPr>
          <w:rFonts w:ascii="Times New Roman" w:hAnsi="Times New Roman" w:cs="Times New Roman"/>
        </w:rPr>
        <w:t xml:space="preserve">The </w:t>
      </w:r>
      <w:r w:rsidR="00B10C71">
        <w:rPr>
          <w:rFonts w:ascii="Times New Roman" w:hAnsi="Times New Roman" w:cs="Times New Roman"/>
        </w:rPr>
        <w:t>research</w:t>
      </w:r>
      <w:r w:rsidRPr="00DB5985">
        <w:rPr>
          <w:rFonts w:ascii="Times New Roman" w:hAnsi="Times New Roman" w:cs="Times New Roman"/>
        </w:rPr>
        <w:t xml:space="preserve"> </w:t>
      </w:r>
      <w:r w:rsidR="00B10C71">
        <w:rPr>
          <w:rFonts w:ascii="Times New Roman" w:hAnsi="Times New Roman" w:cs="Times New Roman"/>
        </w:rPr>
        <w:t>differs</w:t>
      </w:r>
      <w:r w:rsidRPr="00DB5985">
        <w:rPr>
          <w:rFonts w:ascii="Times New Roman" w:hAnsi="Times New Roman" w:cs="Times New Roman"/>
        </w:rPr>
        <w:t xml:space="preserve">: some </w:t>
      </w:r>
      <w:r w:rsidR="00B10C71">
        <w:rPr>
          <w:rFonts w:ascii="Times New Roman" w:hAnsi="Times New Roman" w:cs="Times New Roman"/>
        </w:rPr>
        <w:t>see</w:t>
      </w:r>
      <w:r w:rsidRPr="00DB5985">
        <w:rPr>
          <w:rFonts w:ascii="Times New Roman" w:hAnsi="Times New Roman" w:cs="Times New Roman"/>
        </w:rPr>
        <w:t xml:space="preserve"> cloud as a resilience enabler (reducing downtime, offering enterprise-grade protection), others stress systemic concentration risks and governance gaps. Both perspectives are valid, but the absence of port-level, quantitative studies limits their applicability to contexts like KFTL.</w:t>
      </w:r>
    </w:p>
    <w:p w14:paraId="60D34F0C" w14:textId="77777777" w:rsidR="00DB5985" w:rsidRPr="00DB5985" w:rsidRDefault="00DB5985" w:rsidP="00752CA8">
      <w:pPr>
        <w:spacing w:after="0" w:line="480" w:lineRule="auto"/>
        <w:ind w:firstLine="720"/>
        <w:rPr>
          <w:rFonts w:ascii="Times New Roman" w:hAnsi="Times New Roman" w:cs="Times New Roman"/>
        </w:rPr>
      </w:pPr>
      <w:r w:rsidRPr="00DB5985">
        <w:rPr>
          <w:rFonts w:ascii="Times New Roman" w:hAnsi="Times New Roman" w:cs="Times New Roman"/>
        </w:rPr>
        <w:t>Argument. Without quantitative measurement of incidents, KPIs, and compliance, port operators risk making governance decisions on assumption rather than evidence. Closing this gap requires adopting metrics-driven programs (e.g., tracking identity ratios, configuration drift, compliance benchmarks) aligned with CSA CCM v4, ISO/IEC 27017, and JDPA obligations.</w:t>
      </w:r>
    </w:p>
    <w:p w14:paraId="14DFFB17" w14:textId="1E8FDD40" w:rsidR="00B10C71" w:rsidRPr="00B10C71" w:rsidRDefault="00B10C71" w:rsidP="00B10C71">
      <w:pPr>
        <w:spacing w:after="0" w:line="480" w:lineRule="auto"/>
        <w:ind w:firstLine="720"/>
        <w:rPr>
          <w:rFonts w:ascii="Times New Roman" w:hAnsi="Times New Roman" w:cs="Times New Roman"/>
        </w:rPr>
      </w:pPr>
      <w:r w:rsidRPr="00B10C71">
        <w:rPr>
          <w:rFonts w:ascii="Times New Roman" w:hAnsi="Times New Roman" w:cs="Times New Roman"/>
        </w:rPr>
        <w:t xml:space="preserve">To </w:t>
      </w:r>
      <w:r w:rsidRPr="00B10C71">
        <w:rPr>
          <w:rFonts w:ascii="Times New Roman" w:hAnsi="Times New Roman" w:cs="Times New Roman"/>
        </w:rPr>
        <w:t>summarize</w:t>
      </w:r>
      <w:r w:rsidRPr="00B10C71">
        <w:rPr>
          <w:rFonts w:ascii="Times New Roman" w:hAnsi="Times New Roman" w:cs="Times New Roman"/>
        </w:rPr>
        <w:t>, cloud adoption is both unavoidable and helpful for shipping, but it must be controlled using evidence-based, quantitative governance to assure resilience, compliance, and operational continuity.</w:t>
      </w:r>
    </w:p>
    <w:p w14:paraId="258C7539" w14:textId="082BD6E6" w:rsidR="00DB5985" w:rsidRPr="00DB5985" w:rsidRDefault="00DB5985" w:rsidP="00752CA8">
      <w:pPr>
        <w:spacing w:after="0" w:line="480" w:lineRule="auto"/>
        <w:ind w:firstLine="720"/>
        <w:rPr>
          <w:rFonts w:ascii="Times New Roman" w:hAnsi="Times New Roman" w:cs="Times New Roman"/>
        </w:rPr>
      </w:pPr>
    </w:p>
    <w:p w14:paraId="1879DAD6" w14:textId="5214B0EA" w:rsidR="00DB5985" w:rsidRPr="00DB5985" w:rsidRDefault="00DB5985" w:rsidP="00752CA8">
      <w:pPr>
        <w:spacing w:after="0" w:line="480" w:lineRule="auto"/>
        <w:rPr>
          <w:rFonts w:ascii="Times New Roman" w:hAnsi="Times New Roman" w:cs="Times New Roman"/>
        </w:rPr>
      </w:pPr>
    </w:p>
    <w:p w14:paraId="164818ED" w14:textId="77777777" w:rsidR="00F960B5" w:rsidRPr="00752CA8" w:rsidRDefault="00F960B5" w:rsidP="00752CA8">
      <w:pPr>
        <w:spacing w:after="0" w:line="480" w:lineRule="auto"/>
        <w:rPr>
          <w:rFonts w:ascii="Times New Roman" w:hAnsi="Times New Roman" w:cs="Times New Roman"/>
        </w:rPr>
      </w:pPr>
      <w:r w:rsidRPr="00752CA8">
        <w:rPr>
          <w:rFonts w:ascii="Times New Roman" w:hAnsi="Times New Roman" w:cs="Times New Roman"/>
        </w:rPr>
        <w:br w:type="page"/>
      </w:r>
    </w:p>
    <w:p w14:paraId="15CCF007" w14:textId="528A14AD" w:rsidR="00DB5985" w:rsidRPr="00DB5985" w:rsidRDefault="00DB5985" w:rsidP="00752CA8">
      <w:pPr>
        <w:spacing w:after="0" w:line="480" w:lineRule="auto"/>
        <w:rPr>
          <w:rFonts w:ascii="Times New Roman" w:hAnsi="Times New Roman" w:cs="Times New Roman"/>
          <w:b/>
          <w:bCs/>
        </w:rPr>
      </w:pPr>
      <w:r w:rsidRPr="00DB5985">
        <w:rPr>
          <w:rFonts w:ascii="Times New Roman" w:hAnsi="Times New Roman" w:cs="Times New Roman"/>
          <w:b/>
          <w:bCs/>
        </w:rPr>
        <w:lastRenderedPageBreak/>
        <w:t xml:space="preserve">References </w:t>
      </w:r>
    </w:p>
    <w:p w14:paraId="73AD73ED" w14:textId="134EADA7" w:rsidR="002A122F" w:rsidRPr="00752CA8" w:rsidRDefault="002A122F" w:rsidP="00752CA8">
      <w:pPr>
        <w:pStyle w:val="NormalWeb"/>
        <w:spacing w:after="0" w:afterAutospacing="0" w:line="480" w:lineRule="auto"/>
      </w:pPr>
      <w:r w:rsidRPr="00752CA8">
        <w:t xml:space="preserve">BIMCO, ICS, INTERCARGO, &amp; INTERTANKO. (2024). </w:t>
      </w:r>
      <w:r w:rsidRPr="00752CA8">
        <w:rPr>
          <w:rStyle w:val="Emphasis"/>
          <w:rFonts w:eastAsiaTheme="majorEastAsia"/>
        </w:rPr>
        <w:t>The Guidelines on Cyber Security Onboard Ships</w:t>
      </w:r>
      <w:r w:rsidRPr="00752CA8">
        <w:t xml:space="preserve"> (Version 5). BIMCO.</w:t>
      </w:r>
    </w:p>
    <w:p w14:paraId="60455198" w14:textId="4C688F8C" w:rsidR="002A122F" w:rsidRPr="00752CA8" w:rsidRDefault="002A122F" w:rsidP="00752CA8">
      <w:pPr>
        <w:pStyle w:val="NormalWeb"/>
        <w:spacing w:after="0" w:afterAutospacing="0" w:line="480" w:lineRule="auto"/>
      </w:pPr>
      <w:r w:rsidRPr="00752CA8">
        <w:t xml:space="preserve">CISA. (2025, June 24). </w:t>
      </w:r>
      <w:r w:rsidRPr="00752CA8">
        <w:rPr>
          <w:rStyle w:val="Emphasis"/>
          <w:rFonts w:eastAsiaTheme="majorEastAsia"/>
        </w:rPr>
        <w:t xml:space="preserve">ICSA-25-175-01: </w:t>
      </w:r>
      <w:proofErr w:type="spellStart"/>
      <w:r w:rsidRPr="00752CA8">
        <w:rPr>
          <w:rStyle w:val="Emphasis"/>
          <w:rFonts w:eastAsiaTheme="majorEastAsia"/>
        </w:rPr>
        <w:t>Kaleris</w:t>
      </w:r>
      <w:proofErr w:type="spellEnd"/>
      <w:r w:rsidRPr="00752CA8">
        <w:rPr>
          <w:rStyle w:val="Emphasis"/>
          <w:rFonts w:eastAsiaTheme="majorEastAsia"/>
        </w:rPr>
        <w:t xml:space="preserve"> Navis N4 Terminal Operating System</w:t>
      </w:r>
      <w:r w:rsidRPr="00752CA8">
        <w:t>. Cybersecurity and Infrastructure Security Agency.</w:t>
      </w:r>
    </w:p>
    <w:p w14:paraId="5E580FDB" w14:textId="6257CA52" w:rsidR="002A122F" w:rsidRPr="00752CA8" w:rsidRDefault="002A122F" w:rsidP="00752CA8">
      <w:pPr>
        <w:pStyle w:val="NormalWeb"/>
        <w:spacing w:after="0" w:afterAutospacing="0" w:line="480" w:lineRule="auto"/>
      </w:pPr>
      <w:r w:rsidRPr="00752CA8">
        <w:t xml:space="preserve">Cloud Security Alliance. (2024). </w:t>
      </w:r>
      <w:r w:rsidRPr="00752CA8">
        <w:rPr>
          <w:rStyle w:val="Emphasis"/>
          <w:rFonts w:eastAsiaTheme="majorEastAsia"/>
        </w:rPr>
        <w:t>Top Threats to Cloud Computing 2024</w:t>
      </w:r>
      <w:r w:rsidRPr="00752CA8">
        <w:t>. Cloud Security Alliance.</w:t>
      </w:r>
    </w:p>
    <w:p w14:paraId="73652404" w14:textId="5CF98B2C" w:rsidR="002A122F" w:rsidRPr="00752CA8" w:rsidRDefault="002A122F" w:rsidP="00752CA8">
      <w:pPr>
        <w:pStyle w:val="NormalWeb"/>
        <w:spacing w:after="0" w:afterAutospacing="0" w:line="480" w:lineRule="auto"/>
      </w:pPr>
      <w:r w:rsidRPr="00752CA8">
        <w:t xml:space="preserve">Cloud Security Alliance. (2025). </w:t>
      </w:r>
      <w:r w:rsidRPr="00752CA8">
        <w:rPr>
          <w:rStyle w:val="Emphasis"/>
          <w:rFonts w:eastAsiaTheme="majorEastAsia"/>
        </w:rPr>
        <w:t>Cloud Controls Matrix (CCM) v4</w:t>
      </w:r>
      <w:r w:rsidRPr="00752CA8">
        <w:t>. Cloud Security Alliance.</w:t>
      </w:r>
    </w:p>
    <w:p w14:paraId="0A239708" w14:textId="6C5CF996" w:rsidR="002A122F" w:rsidRPr="00752CA8" w:rsidRDefault="002A122F" w:rsidP="00752CA8">
      <w:pPr>
        <w:pStyle w:val="NormalWeb"/>
        <w:spacing w:after="0" w:afterAutospacing="0" w:line="480" w:lineRule="auto"/>
      </w:pPr>
      <w:r w:rsidRPr="00752CA8">
        <w:t xml:space="preserve">CyberArk. (2025, April 23). </w:t>
      </w:r>
      <w:r w:rsidRPr="00752CA8">
        <w:rPr>
          <w:rStyle w:val="Emphasis"/>
          <w:rFonts w:eastAsiaTheme="majorEastAsia"/>
        </w:rPr>
        <w:t>Machine Identities Outnumber Humans by More Than 80 to 1</w:t>
      </w:r>
      <w:r w:rsidRPr="00752CA8">
        <w:t>. CyberArk.</w:t>
      </w:r>
    </w:p>
    <w:p w14:paraId="1265BED6" w14:textId="45DFF131" w:rsidR="002A122F" w:rsidRPr="00752CA8" w:rsidRDefault="002A122F" w:rsidP="00752CA8">
      <w:pPr>
        <w:pStyle w:val="NormalWeb"/>
        <w:spacing w:after="0" w:afterAutospacing="0" w:line="480" w:lineRule="auto"/>
      </w:pPr>
      <w:r w:rsidRPr="00752CA8">
        <w:t xml:space="preserve">ENISA. (2023). </w:t>
      </w:r>
      <w:r w:rsidRPr="00752CA8">
        <w:rPr>
          <w:rStyle w:val="Emphasis"/>
          <w:rFonts w:eastAsiaTheme="majorEastAsia"/>
        </w:rPr>
        <w:t>ENISA Threat Landscape 2023: Cloud Security</w:t>
      </w:r>
      <w:r w:rsidRPr="00752CA8">
        <w:t>. European Union Agency for Cybersecurity.</w:t>
      </w:r>
    </w:p>
    <w:p w14:paraId="6456E2AB" w14:textId="3B34CED3" w:rsidR="002A122F" w:rsidRPr="00752CA8" w:rsidRDefault="002A122F" w:rsidP="00752CA8">
      <w:pPr>
        <w:pStyle w:val="NormalWeb"/>
        <w:spacing w:after="0" w:afterAutospacing="0" w:line="480" w:lineRule="auto"/>
      </w:pPr>
      <w:r w:rsidRPr="00752CA8">
        <w:t xml:space="preserve">IBM Security. (2023). </w:t>
      </w:r>
      <w:r w:rsidRPr="00752CA8">
        <w:rPr>
          <w:rStyle w:val="Emphasis"/>
          <w:rFonts w:eastAsiaTheme="majorEastAsia"/>
        </w:rPr>
        <w:t>Cost of a Data Breach Report 2023</w:t>
      </w:r>
      <w:r w:rsidRPr="00752CA8">
        <w:t>. IBM Security.</w:t>
      </w:r>
    </w:p>
    <w:p w14:paraId="7442AC89" w14:textId="73EF4F50" w:rsidR="002A122F" w:rsidRPr="00752CA8" w:rsidRDefault="002A122F" w:rsidP="00752CA8">
      <w:pPr>
        <w:pStyle w:val="NormalWeb"/>
        <w:spacing w:after="0" w:afterAutospacing="0" w:line="480" w:lineRule="auto"/>
      </w:pPr>
      <w:r w:rsidRPr="00752CA8">
        <w:t xml:space="preserve">International Maritime Organization. (2025, April 4). </w:t>
      </w:r>
      <w:r w:rsidRPr="00752CA8">
        <w:rPr>
          <w:rStyle w:val="Emphasis"/>
          <w:rFonts w:eastAsiaTheme="majorEastAsia"/>
        </w:rPr>
        <w:t>MSC-FAL.1/Circ.3/Rev.3: Guidelines on maritime cyber risk management</w:t>
      </w:r>
      <w:r w:rsidRPr="00752CA8">
        <w:t>. IMO.</w:t>
      </w:r>
    </w:p>
    <w:p w14:paraId="3CE1EB9F" w14:textId="3EC2A806" w:rsidR="002A122F" w:rsidRPr="00752CA8" w:rsidRDefault="002A122F" w:rsidP="00752CA8">
      <w:pPr>
        <w:pStyle w:val="NormalWeb"/>
        <w:spacing w:after="0" w:afterAutospacing="0" w:line="480" w:lineRule="auto"/>
      </w:pPr>
      <w:r w:rsidRPr="00752CA8">
        <w:t xml:space="preserve">ISO/IEC. (2015). </w:t>
      </w:r>
      <w:r w:rsidRPr="00752CA8">
        <w:rPr>
          <w:rStyle w:val="Emphasis"/>
          <w:rFonts w:eastAsiaTheme="majorEastAsia"/>
        </w:rPr>
        <w:t>ISO/IEC 27017:2015 — Code of practice for information security controls for cloud services</w:t>
      </w:r>
      <w:r w:rsidRPr="00752CA8">
        <w:t>. International Organization for Standardization.</w:t>
      </w:r>
    </w:p>
    <w:p w14:paraId="4219034F" w14:textId="4CB4C0AD" w:rsidR="002A122F" w:rsidRPr="00752CA8" w:rsidRDefault="002A122F" w:rsidP="00752CA8">
      <w:pPr>
        <w:pStyle w:val="NormalWeb"/>
        <w:spacing w:after="0" w:afterAutospacing="0" w:line="480" w:lineRule="auto"/>
      </w:pPr>
      <w:r w:rsidRPr="00752CA8">
        <w:t xml:space="preserve">Jamaica Parliament. (2020). </w:t>
      </w:r>
      <w:r w:rsidRPr="00752CA8">
        <w:rPr>
          <w:rStyle w:val="Emphasis"/>
          <w:rFonts w:eastAsiaTheme="majorEastAsia"/>
        </w:rPr>
        <w:t>The Data Protection Act, 2020 (Act No. 7 of 2020)</w:t>
      </w:r>
      <w:r w:rsidRPr="00752CA8">
        <w:t>. Jamaica Gazette.</w:t>
      </w:r>
    </w:p>
    <w:p w14:paraId="54A0D1A7" w14:textId="4D508629" w:rsidR="002A122F" w:rsidRPr="00752CA8" w:rsidRDefault="002A122F" w:rsidP="00752CA8">
      <w:pPr>
        <w:pStyle w:val="NormalWeb"/>
        <w:spacing w:after="0" w:afterAutospacing="0" w:line="480" w:lineRule="auto"/>
      </w:pPr>
      <w:r w:rsidRPr="00752CA8">
        <w:lastRenderedPageBreak/>
        <w:t xml:space="preserve">Microsoft. (2023, June 29). </w:t>
      </w:r>
      <w:r w:rsidRPr="00752CA8">
        <w:rPr>
          <w:rStyle w:val="Emphasis"/>
          <w:rFonts w:eastAsiaTheme="majorEastAsia"/>
        </w:rPr>
        <w:t>Workload identities now outnumber human identities 10:1</w:t>
      </w:r>
      <w:r w:rsidRPr="00752CA8">
        <w:t>. Microsoft Tech Community.</w:t>
      </w:r>
    </w:p>
    <w:p w14:paraId="3897D959" w14:textId="2537C084" w:rsidR="002A122F" w:rsidRPr="00752CA8" w:rsidRDefault="002A122F" w:rsidP="00752CA8">
      <w:pPr>
        <w:pStyle w:val="NormalWeb"/>
        <w:spacing w:after="0" w:afterAutospacing="0" w:line="480" w:lineRule="auto"/>
      </w:pPr>
      <w:r w:rsidRPr="00752CA8">
        <w:t xml:space="preserve">OWASP. (2023). </w:t>
      </w:r>
      <w:r w:rsidRPr="00752CA8">
        <w:rPr>
          <w:rStyle w:val="Emphasis"/>
          <w:rFonts w:eastAsiaTheme="majorEastAsia"/>
        </w:rPr>
        <w:t>OWASP Top 10 API Security Risks – 2023</w:t>
      </w:r>
      <w:r w:rsidRPr="00752CA8">
        <w:t>. OWASP Foundation.</w:t>
      </w:r>
    </w:p>
    <w:p w14:paraId="3479F177" w14:textId="66E157D3" w:rsidR="002A122F" w:rsidRPr="00752CA8" w:rsidRDefault="002A122F" w:rsidP="00752CA8">
      <w:pPr>
        <w:pStyle w:val="NormalWeb"/>
        <w:spacing w:after="0" w:afterAutospacing="0" w:line="480" w:lineRule="auto"/>
      </w:pPr>
      <w:r w:rsidRPr="00752CA8">
        <w:t xml:space="preserve">Pearson, S., &amp; Benameur, A. (2019). Privacy, security and trust in cloud computing. </w:t>
      </w:r>
      <w:r w:rsidRPr="00752CA8">
        <w:rPr>
          <w:rStyle w:val="Emphasis"/>
          <w:rFonts w:eastAsiaTheme="majorEastAsia"/>
        </w:rPr>
        <w:t>Future Generation Computer Systems, 29</w:t>
      </w:r>
      <w:r w:rsidRPr="00752CA8">
        <w:t>(2), 146–158. https://doi.org/10.1016/j.future.2011.12.006</w:t>
      </w:r>
    </w:p>
    <w:p w14:paraId="45313CAB" w14:textId="6DF32B9E" w:rsidR="002A122F" w:rsidRPr="00752CA8" w:rsidRDefault="002A122F" w:rsidP="00752CA8">
      <w:pPr>
        <w:pStyle w:val="NormalWeb"/>
        <w:spacing w:after="0" w:afterAutospacing="0" w:line="480" w:lineRule="auto"/>
      </w:pPr>
      <w:proofErr w:type="spellStart"/>
      <w:r w:rsidRPr="00752CA8">
        <w:t>Ponemon</w:t>
      </w:r>
      <w:proofErr w:type="spellEnd"/>
      <w:r w:rsidRPr="00752CA8">
        <w:t xml:space="preserve"> Institute. (2023). </w:t>
      </w:r>
      <w:r w:rsidRPr="00752CA8">
        <w:rPr>
          <w:rStyle w:val="Emphasis"/>
          <w:rFonts w:eastAsiaTheme="majorEastAsia"/>
        </w:rPr>
        <w:t>Cost of Insider Threats 2023</w:t>
      </w:r>
      <w:r w:rsidRPr="00752CA8">
        <w:t xml:space="preserve">. </w:t>
      </w:r>
      <w:proofErr w:type="spellStart"/>
      <w:r w:rsidRPr="00752CA8">
        <w:t>Ponemon</w:t>
      </w:r>
      <w:proofErr w:type="spellEnd"/>
      <w:r w:rsidRPr="00752CA8">
        <w:t xml:space="preserve"> Institute.</w:t>
      </w:r>
    </w:p>
    <w:p w14:paraId="0CF14F2E" w14:textId="24DD30CE" w:rsidR="002A122F" w:rsidRPr="00752CA8" w:rsidRDefault="002A122F" w:rsidP="00752CA8">
      <w:pPr>
        <w:pStyle w:val="NormalWeb"/>
        <w:spacing w:after="0" w:afterAutospacing="0" w:line="480" w:lineRule="auto"/>
      </w:pPr>
      <w:r w:rsidRPr="00752CA8">
        <w:t xml:space="preserve">Sophos. (2024). </w:t>
      </w:r>
      <w:r w:rsidRPr="00752CA8">
        <w:rPr>
          <w:rStyle w:val="Emphasis"/>
          <w:rFonts w:eastAsiaTheme="majorEastAsia"/>
        </w:rPr>
        <w:t>The State of Ransomware 2024</w:t>
      </w:r>
      <w:r w:rsidRPr="00752CA8">
        <w:t>. Sophos.</w:t>
      </w:r>
    </w:p>
    <w:p w14:paraId="20775022" w14:textId="7B46208E" w:rsidR="002A122F" w:rsidRPr="00752CA8" w:rsidRDefault="002A122F" w:rsidP="00752CA8">
      <w:pPr>
        <w:pStyle w:val="NormalWeb"/>
        <w:spacing w:after="0" w:afterAutospacing="0" w:line="480" w:lineRule="auto"/>
      </w:pPr>
      <w:r w:rsidRPr="00752CA8">
        <w:t>Clavijo Mesa, M. V., Patino-Rodriguez, C. E., &amp; Guevara Carazas, F. J. (2024). Cybersecurity at Sea: A Literature Review of Cyber-Attack Impacts and Defenses in Maritime Supply Chains. </w:t>
      </w:r>
      <w:r w:rsidRPr="00752CA8">
        <w:rPr>
          <w:i/>
          <w:iCs/>
        </w:rPr>
        <w:t>Information</w:t>
      </w:r>
      <w:r w:rsidRPr="00752CA8">
        <w:t>, </w:t>
      </w:r>
      <w:r w:rsidRPr="00752CA8">
        <w:rPr>
          <w:i/>
          <w:iCs/>
        </w:rPr>
        <w:t>15</w:t>
      </w:r>
      <w:r w:rsidRPr="00752CA8">
        <w:t>(11), 710. https://doi.org/10.3390/info15110710</w:t>
      </w:r>
    </w:p>
    <w:p w14:paraId="03383F52" w14:textId="77777777" w:rsidR="00D9636B" w:rsidRPr="00752CA8" w:rsidRDefault="00D9636B" w:rsidP="00752CA8">
      <w:pPr>
        <w:spacing w:after="0" w:line="480" w:lineRule="auto"/>
        <w:rPr>
          <w:rFonts w:ascii="Times New Roman" w:hAnsi="Times New Roman" w:cs="Times New Roman"/>
        </w:rPr>
      </w:pPr>
    </w:p>
    <w:sectPr w:rsidR="00D9636B" w:rsidRPr="00752CA8" w:rsidSect="00263F27">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D86C0D"/>
    <w:multiLevelType w:val="multilevel"/>
    <w:tmpl w:val="05FC0F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3065843"/>
    <w:multiLevelType w:val="hybridMultilevel"/>
    <w:tmpl w:val="B5286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806351"/>
    <w:multiLevelType w:val="hybridMultilevel"/>
    <w:tmpl w:val="BD2A8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02697D"/>
    <w:multiLevelType w:val="hybridMultilevel"/>
    <w:tmpl w:val="50A8A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CF62C1"/>
    <w:multiLevelType w:val="multilevel"/>
    <w:tmpl w:val="84BEE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49971B5"/>
    <w:multiLevelType w:val="multilevel"/>
    <w:tmpl w:val="F1C6E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31B49F9"/>
    <w:multiLevelType w:val="multilevel"/>
    <w:tmpl w:val="4E48A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76F2FC9"/>
    <w:multiLevelType w:val="multilevel"/>
    <w:tmpl w:val="CE74A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A3810D3"/>
    <w:multiLevelType w:val="hybridMultilevel"/>
    <w:tmpl w:val="3F0AD5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B80333C"/>
    <w:multiLevelType w:val="multilevel"/>
    <w:tmpl w:val="6D9A4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88168110">
    <w:abstractNumId w:val="0"/>
  </w:num>
  <w:num w:numId="2" w16cid:durableId="1067145771">
    <w:abstractNumId w:val="9"/>
  </w:num>
  <w:num w:numId="3" w16cid:durableId="407507650">
    <w:abstractNumId w:val="7"/>
  </w:num>
  <w:num w:numId="4" w16cid:durableId="438918074">
    <w:abstractNumId w:val="6"/>
  </w:num>
  <w:num w:numId="5" w16cid:durableId="2035187438">
    <w:abstractNumId w:val="4"/>
  </w:num>
  <w:num w:numId="6" w16cid:durableId="1829442656">
    <w:abstractNumId w:val="5"/>
  </w:num>
  <w:num w:numId="7" w16cid:durableId="389963245">
    <w:abstractNumId w:val="1"/>
  </w:num>
  <w:num w:numId="8" w16cid:durableId="1736513020">
    <w:abstractNumId w:val="3"/>
  </w:num>
  <w:num w:numId="9" w16cid:durableId="1533685947">
    <w:abstractNumId w:val="2"/>
  </w:num>
  <w:num w:numId="10" w16cid:durableId="16890624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5985"/>
    <w:rsid w:val="001B366C"/>
    <w:rsid w:val="00263F27"/>
    <w:rsid w:val="002A122F"/>
    <w:rsid w:val="002D6C7A"/>
    <w:rsid w:val="005F4698"/>
    <w:rsid w:val="00643896"/>
    <w:rsid w:val="007313E5"/>
    <w:rsid w:val="00752CA8"/>
    <w:rsid w:val="00B10C71"/>
    <w:rsid w:val="00B42A12"/>
    <w:rsid w:val="00BE4B8D"/>
    <w:rsid w:val="00D6020D"/>
    <w:rsid w:val="00D83631"/>
    <w:rsid w:val="00D9636B"/>
    <w:rsid w:val="00DB5985"/>
    <w:rsid w:val="00F960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FCBAD9"/>
  <w15:chartTrackingRefBased/>
  <w15:docId w15:val="{8F6005EF-9233-4FB9-86F6-C1F4BB2BD9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598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B598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B598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B598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B598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B598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B598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B598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B598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598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B598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B598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B598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B598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B598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B598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B598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B5985"/>
    <w:rPr>
      <w:rFonts w:eastAsiaTheme="majorEastAsia" w:cstheme="majorBidi"/>
      <w:color w:val="272727" w:themeColor="text1" w:themeTint="D8"/>
    </w:rPr>
  </w:style>
  <w:style w:type="paragraph" w:styleId="Title">
    <w:name w:val="Title"/>
    <w:basedOn w:val="Normal"/>
    <w:next w:val="Normal"/>
    <w:link w:val="TitleChar"/>
    <w:uiPriority w:val="10"/>
    <w:qFormat/>
    <w:rsid w:val="00DB598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598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B598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B598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B5985"/>
    <w:pPr>
      <w:spacing w:before="160"/>
      <w:jc w:val="center"/>
    </w:pPr>
    <w:rPr>
      <w:i/>
      <w:iCs/>
      <w:color w:val="404040" w:themeColor="text1" w:themeTint="BF"/>
    </w:rPr>
  </w:style>
  <w:style w:type="character" w:customStyle="1" w:styleId="QuoteChar">
    <w:name w:val="Quote Char"/>
    <w:basedOn w:val="DefaultParagraphFont"/>
    <w:link w:val="Quote"/>
    <w:uiPriority w:val="29"/>
    <w:rsid w:val="00DB5985"/>
    <w:rPr>
      <w:i/>
      <w:iCs/>
      <w:color w:val="404040" w:themeColor="text1" w:themeTint="BF"/>
    </w:rPr>
  </w:style>
  <w:style w:type="paragraph" w:styleId="ListParagraph">
    <w:name w:val="List Paragraph"/>
    <w:basedOn w:val="Normal"/>
    <w:uiPriority w:val="34"/>
    <w:qFormat/>
    <w:rsid w:val="00DB5985"/>
    <w:pPr>
      <w:ind w:left="720"/>
      <w:contextualSpacing/>
    </w:pPr>
  </w:style>
  <w:style w:type="character" w:styleId="IntenseEmphasis">
    <w:name w:val="Intense Emphasis"/>
    <w:basedOn w:val="DefaultParagraphFont"/>
    <w:uiPriority w:val="21"/>
    <w:qFormat/>
    <w:rsid w:val="00DB5985"/>
    <w:rPr>
      <w:i/>
      <w:iCs/>
      <w:color w:val="0F4761" w:themeColor="accent1" w:themeShade="BF"/>
    </w:rPr>
  </w:style>
  <w:style w:type="paragraph" w:styleId="IntenseQuote">
    <w:name w:val="Intense Quote"/>
    <w:basedOn w:val="Normal"/>
    <w:next w:val="Normal"/>
    <w:link w:val="IntenseQuoteChar"/>
    <w:uiPriority w:val="30"/>
    <w:qFormat/>
    <w:rsid w:val="00DB598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B5985"/>
    <w:rPr>
      <w:i/>
      <w:iCs/>
      <w:color w:val="0F4761" w:themeColor="accent1" w:themeShade="BF"/>
    </w:rPr>
  </w:style>
  <w:style w:type="character" w:styleId="IntenseReference">
    <w:name w:val="Intense Reference"/>
    <w:basedOn w:val="DefaultParagraphFont"/>
    <w:uiPriority w:val="32"/>
    <w:qFormat/>
    <w:rsid w:val="00DB5985"/>
    <w:rPr>
      <w:b/>
      <w:bCs/>
      <w:smallCaps/>
      <w:color w:val="0F4761" w:themeColor="accent1" w:themeShade="BF"/>
      <w:spacing w:val="5"/>
    </w:rPr>
  </w:style>
  <w:style w:type="paragraph" w:styleId="NormalWeb">
    <w:name w:val="Normal (Web)"/>
    <w:basedOn w:val="Normal"/>
    <w:uiPriority w:val="99"/>
    <w:semiHidden/>
    <w:unhideWhenUsed/>
    <w:rsid w:val="002A122F"/>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Emphasis">
    <w:name w:val="Emphasis"/>
    <w:basedOn w:val="DefaultParagraphFont"/>
    <w:uiPriority w:val="20"/>
    <w:qFormat/>
    <w:rsid w:val="002A122F"/>
    <w:rPr>
      <w:i/>
      <w:iCs/>
    </w:rPr>
  </w:style>
  <w:style w:type="paragraph" w:styleId="NoSpacing">
    <w:name w:val="No Spacing"/>
    <w:link w:val="NoSpacingChar"/>
    <w:uiPriority w:val="1"/>
    <w:qFormat/>
    <w:rsid w:val="00263F27"/>
    <w:pPr>
      <w:spacing w:after="0" w:line="240" w:lineRule="auto"/>
    </w:pPr>
    <w:rPr>
      <w:rFonts w:eastAsiaTheme="minorEastAsia"/>
      <w:kern w:val="0"/>
      <w:sz w:val="22"/>
      <w:szCs w:val="22"/>
      <w14:ligatures w14:val="none"/>
    </w:rPr>
  </w:style>
  <w:style w:type="character" w:customStyle="1" w:styleId="NoSpacingChar">
    <w:name w:val="No Spacing Char"/>
    <w:basedOn w:val="DefaultParagraphFont"/>
    <w:link w:val="NoSpacing"/>
    <w:uiPriority w:val="1"/>
    <w:rsid w:val="00263F27"/>
    <w:rPr>
      <w:rFonts w:eastAsiaTheme="minorEastAsia"/>
      <w:kern w:val="0"/>
      <w:sz w:val="22"/>
      <w:szCs w:val="2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2025</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10</Pages>
  <Words>1897</Words>
  <Characters>10816</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Cloud Security Risks in the Shipping Sector</dc:title>
  <dc:subject>Literature review</dc:subject>
  <dc:creator>Tyrone Lim</dc:creator>
  <cp:keywords/>
  <dc:description/>
  <cp:lastModifiedBy>Jerry</cp:lastModifiedBy>
  <cp:revision>5</cp:revision>
  <dcterms:created xsi:type="dcterms:W3CDTF">2025-09-15T05:47:00Z</dcterms:created>
  <dcterms:modified xsi:type="dcterms:W3CDTF">2025-09-15T06:02:00Z</dcterms:modified>
</cp:coreProperties>
</file>