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AF785" w14:textId="667C688F" w:rsidR="005C659A" w:rsidRDefault="005C659A" w:rsidP="005C659A">
      <w:pPr>
        <w:rPr>
          <w:b/>
          <w:bCs/>
        </w:rPr>
      </w:pPr>
      <w:r w:rsidRPr="005C659A">
        <w:rPr>
          <w:b/>
          <w:bCs/>
        </w:rPr>
        <w:t>Reflective Essay</w:t>
      </w:r>
    </w:p>
    <w:p w14:paraId="79AC3B5D" w14:textId="24A030AD" w:rsidR="005C659A" w:rsidRPr="005C659A" w:rsidRDefault="005C659A" w:rsidP="005C659A">
      <w:pPr>
        <w:rPr>
          <w:b/>
          <w:bCs/>
        </w:rPr>
      </w:pPr>
      <w:r>
        <w:rPr>
          <w:b/>
          <w:bCs/>
        </w:rPr>
        <w:t>Tyrone Lim</w:t>
      </w:r>
    </w:p>
    <w:p w14:paraId="0E77FF62" w14:textId="77777777" w:rsidR="005C659A" w:rsidRDefault="005C659A" w:rsidP="005C659A">
      <w:pPr>
        <w:rPr>
          <w:b/>
          <w:bCs/>
        </w:rPr>
      </w:pPr>
    </w:p>
    <w:p w14:paraId="1E001856" w14:textId="342C0A9A" w:rsidR="005C659A" w:rsidRDefault="005C659A" w:rsidP="005C659A">
      <w:pPr>
        <w:rPr>
          <w:b/>
          <w:bCs/>
        </w:rPr>
      </w:pPr>
      <w:r w:rsidRPr="005C659A">
        <w:rPr>
          <w:b/>
          <w:bCs/>
        </w:rPr>
        <w:t>Introduction</w:t>
      </w:r>
    </w:p>
    <w:p w14:paraId="6D5EFBEA" w14:textId="23E6ADE6" w:rsidR="005C659A" w:rsidRPr="005C659A" w:rsidRDefault="005C659A" w:rsidP="005C659A">
      <w:pPr>
        <w:ind w:firstLine="720"/>
      </w:pPr>
      <w:r w:rsidRPr="005C659A">
        <w:t>This reflection recounts my learning across the Research Methods and Professional Practice module. Practically, I completed the t</w:t>
      </w:r>
      <w:r>
        <w:t>hree</w:t>
      </w:r>
      <w:r w:rsidRPr="005C659A">
        <w:t xml:space="preserve"> summative assessments (a literature review</w:t>
      </w:r>
      <w:r>
        <w:t>,</w:t>
      </w:r>
      <w:r w:rsidRPr="005C659A">
        <w:t xml:space="preserve"> a research proposal presentation</w:t>
      </w:r>
      <w:r>
        <w:t xml:space="preserve"> and a reflective piece</w:t>
      </w:r>
      <w:r w:rsidRPr="005C659A">
        <w:t xml:space="preserve">) but did not complete the non-assessed activities because of competing demands at work and at home. I consider what I learned about research design, quantitative reasoning, research writing, and ethics; I then outline concrete changes to my study habits and professional practice. Going into this module, I assumed “research methods” would be mostly abstract. It turned out to be very practical. </w:t>
      </w:r>
    </w:p>
    <w:p w14:paraId="6FF327EE" w14:textId="42467C3A" w:rsidR="005C659A" w:rsidRPr="005C659A" w:rsidRDefault="005C659A" w:rsidP="005C659A">
      <w:pPr>
        <w:ind w:firstLine="720"/>
      </w:pPr>
      <w:r>
        <w:t>Through introspection</w:t>
      </w:r>
      <w:r w:rsidRPr="005C659A">
        <w:t xml:space="preserve">, strengths included a clear topic, set research questions, and good background, while areas to improve were breadth of academic sources, synthesis, and a tighter methodology story. That aligns uncomfortably well with the research-writing guidance on the reading list: a literature review should be “an organized synthesis that frames questions and gaps,” and research reports should be structured deliberately (Dawson, 2015; Farquhar, 2012; Wilson, 2022). </w:t>
      </w:r>
    </w:p>
    <w:p w14:paraId="5E4FD344" w14:textId="77777777" w:rsidR="005C659A" w:rsidRPr="005C659A" w:rsidRDefault="005C659A" w:rsidP="005C659A">
      <w:pPr>
        <w:rPr>
          <w:b/>
          <w:bCs/>
        </w:rPr>
      </w:pPr>
      <w:r w:rsidRPr="005C659A">
        <w:rPr>
          <w:b/>
          <w:bCs/>
        </w:rPr>
        <w:t xml:space="preserve">What I </w:t>
      </w:r>
      <w:proofErr w:type="gramStart"/>
      <w:r w:rsidRPr="005C659A">
        <w:rPr>
          <w:b/>
          <w:bCs/>
        </w:rPr>
        <w:t>actually did</w:t>
      </w:r>
      <w:proofErr w:type="gramEnd"/>
    </w:p>
    <w:p w14:paraId="3768B0A5" w14:textId="58C264A9" w:rsidR="005C659A" w:rsidRPr="005C659A" w:rsidRDefault="005C659A" w:rsidP="005C659A">
      <w:pPr>
        <w:ind w:firstLine="720"/>
      </w:pPr>
      <w:r w:rsidRPr="005C659A">
        <w:t xml:space="preserve">I focused my literature review on a computing topic relevant to my </w:t>
      </w:r>
      <w:r w:rsidR="00530AA1">
        <w:t>professional work</w:t>
      </w:r>
      <w:r w:rsidRPr="005C659A">
        <w:t xml:space="preserve"> and then built a concise research proposal from it. The proposal articulated aims, questions, and a methods outline, but the “how the pieces fit” part was underdeveloped</w:t>
      </w:r>
      <w:r>
        <w:t xml:space="preserve">, </w:t>
      </w:r>
      <w:r w:rsidRPr="005C659A">
        <w:t xml:space="preserve">exactly the kind of conceptual knitting Saunders et al. (2019) stress when they discuss ontological and epistemological assumptions leading into coherent design choices. I took that criticism seriously: it’s not enough to list methods; I need to show how they support each other (Saunders et al., 2019). </w:t>
      </w:r>
    </w:p>
    <w:p w14:paraId="464D74B8" w14:textId="6809B88E" w:rsidR="005C659A" w:rsidRPr="005C659A" w:rsidRDefault="005C659A" w:rsidP="00530AA1">
      <w:pPr>
        <w:ind w:firstLine="720"/>
      </w:pPr>
      <w:r w:rsidRPr="005C659A">
        <w:t>I did not complete the statistics worksheets, data-visualization exercises, or reflective e-portfolio postings</w:t>
      </w:r>
      <w:r>
        <w:t xml:space="preserve">, </w:t>
      </w:r>
      <w:r w:rsidRPr="005C659A">
        <w:t>even though the unit overviews emphasize quantitative skills</w:t>
      </w:r>
      <w:r w:rsidR="00530AA1">
        <w:t xml:space="preserve"> </w:t>
      </w:r>
      <w:r w:rsidRPr="005C659A">
        <w:t xml:space="preserve">and honest visualization choices (Berenson et al., 2019; Purdue OWL, 2023; Kosara, n.d.; FT Visual Vocabulary, 2021). </w:t>
      </w:r>
    </w:p>
    <w:p w14:paraId="24839B53" w14:textId="1D7892D3" w:rsidR="005C659A" w:rsidRPr="005C659A" w:rsidRDefault="005C659A" w:rsidP="005C659A">
      <w:pPr>
        <w:rPr>
          <w:b/>
          <w:bCs/>
        </w:rPr>
      </w:pPr>
      <w:r w:rsidRPr="005C659A">
        <w:rPr>
          <w:b/>
          <w:bCs/>
        </w:rPr>
        <w:t xml:space="preserve">What I learned </w:t>
      </w:r>
    </w:p>
    <w:p w14:paraId="2B9215C0" w14:textId="642B3390" w:rsidR="005C659A" w:rsidRPr="005C659A" w:rsidRDefault="005C659A" w:rsidP="005C659A">
      <w:pPr>
        <w:ind w:firstLine="720"/>
      </w:pPr>
      <w:r w:rsidRPr="005C659A">
        <w:t xml:space="preserve">Reading Dawson (2015) made me rethink the literature review as a living argument rather than a source dump. Paré (2017) and Wagner et al. (2022) sharpen that by describing </w:t>
      </w:r>
      <w:r w:rsidRPr="005C659A">
        <w:lastRenderedPageBreak/>
        <w:t xml:space="preserve">methods for literature reviews which I underused; I relied too much on a few sources and didn’t stage the theoretical framework explicitly. Next time, I’ll scaffold the review around competing explanations and unresolved gaps (Dawson, 2015; Paré, 2017; Wagner et al., 2022). </w:t>
      </w:r>
    </w:p>
    <w:p w14:paraId="618B4CF7" w14:textId="77777777" w:rsidR="005C659A" w:rsidRPr="005C659A" w:rsidRDefault="005C659A" w:rsidP="00AA5B19">
      <w:pPr>
        <w:ind w:firstLine="720"/>
      </w:pPr>
      <w:r w:rsidRPr="005C659A">
        <w:t xml:space="preserve">The units press for fluency with descriptive and inferential statistics. Revisiting these topics through Berenson et al. (2019) reminded me that decisions should be framed with summaries </w:t>
      </w:r>
      <w:r w:rsidRPr="005C659A">
        <w:rPr>
          <w:i/>
          <w:iCs/>
        </w:rPr>
        <w:t>and</w:t>
      </w:r>
      <w:r w:rsidRPr="005C659A">
        <w:t xml:space="preserve"> uncertainty (intervals, tests). Purdue OWL’s primer helped me connect sampling logic to hypotheses and error types in plain English (Berenson et al., 2019; Purdue OWL, 2023). I didn’t produce the required worksheets, but the takeaway is clear: even simple P50/P90 views and clear charts can raise the quality of stakeholder conversations. </w:t>
      </w:r>
    </w:p>
    <w:p w14:paraId="06A7EF46" w14:textId="77777777" w:rsidR="005C659A" w:rsidRPr="005C659A" w:rsidRDefault="005C659A" w:rsidP="00AA5B19">
      <w:pPr>
        <w:ind w:firstLine="720"/>
      </w:pPr>
      <w:r w:rsidRPr="005C659A">
        <w:t xml:space="preserve">The visual resources on the list—Kosara’s “why and how” and the FT Visual Vocabulary—made me more careful about encodings, clutter, and chart-to-question fit (Financial Times Visual Vocabulary, 2021; Kosara, n.d.). Microsoft’s dashboard overview pushed me to think in terms of </w:t>
      </w:r>
      <w:r w:rsidRPr="005C659A">
        <w:rPr>
          <w:i/>
          <w:iCs/>
        </w:rPr>
        <w:t>decision-ready</w:t>
      </w:r>
      <w:r w:rsidRPr="005C659A">
        <w:t xml:space="preserve"> displays rather than “pretty charts” (Microsoft, n.d.). </w:t>
      </w:r>
    </w:p>
    <w:p w14:paraId="683AE1C6" w14:textId="6A2DF78D" w:rsidR="005C659A" w:rsidRPr="005C659A" w:rsidRDefault="005C659A" w:rsidP="00AA5B19">
      <w:pPr>
        <w:ind w:firstLine="720"/>
      </w:pPr>
      <w:r w:rsidRPr="005C659A">
        <w:t>Unit 1 readings anchor research ethics in foundational documents. The Belmont Report is the classic baseline; the Menlo literature (and the 2013 companion) translates those ideas for ICT work (Belmont Report, 1979; Bailey et al., 2013; Finn &amp; Shilton, 2023). The BCS Code of Conduct pushes the professionalism angle</w:t>
      </w:r>
      <w:r w:rsidR="00163173">
        <w:t xml:space="preserve">, </w:t>
      </w:r>
      <w:r w:rsidRPr="005C659A">
        <w:t xml:space="preserve">integrity, competence, and public </w:t>
      </w:r>
      <w:r w:rsidR="00163173" w:rsidRPr="005C659A">
        <w:t>interest</w:t>
      </w:r>
      <w:r w:rsidR="00163173">
        <w:t>,</w:t>
      </w:r>
      <w:r w:rsidR="00163173" w:rsidRPr="005C659A">
        <w:t xml:space="preserve"> relevant</w:t>
      </w:r>
      <w:r w:rsidRPr="005C659A">
        <w:t xml:space="preserve"> to how I handle any colleague-involving inquiry. Concretely, that means consent where people are involved, </w:t>
      </w:r>
      <w:r w:rsidR="00163173" w:rsidRPr="005C659A">
        <w:t>minimization</w:t>
      </w:r>
      <w:r w:rsidRPr="005C659A">
        <w:t xml:space="preserve"> of identifiers, secure storage, and a real opt-out. </w:t>
      </w:r>
    </w:p>
    <w:p w14:paraId="7855FE5B" w14:textId="70E38733" w:rsidR="005C659A" w:rsidRPr="005C659A" w:rsidRDefault="005C659A" w:rsidP="00163173">
      <w:pPr>
        <w:ind w:firstLine="720"/>
      </w:pPr>
      <w:r w:rsidRPr="005C659A">
        <w:t>I didn’t maintain the evidence trail during the module. That’s on me. The Unit 11 readings frame e-portfolios as useful when they’re curated and reflective</w:t>
      </w:r>
      <w:r w:rsidR="00163173">
        <w:t xml:space="preserve">, </w:t>
      </w:r>
      <w:r w:rsidRPr="005C659A">
        <w:t>supporting autonomy, feedback, and employability (</w:t>
      </w:r>
      <w:proofErr w:type="spellStart"/>
      <w:r w:rsidRPr="005C659A">
        <w:t>Ariningsih</w:t>
      </w:r>
      <w:proofErr w:type="spellEnd"/>
      <w:r w:rsidRPr="005C659A">
        <w:t xml:space="preserve"> et al., 2021; Janssens et al., 2022; Pospíšilová &amp; </w:t>
      </w:r>
      <w:proofErr w:type="spellStart"/>
      <w:r w:rsidRPr="005C659A">
        <w:t>Rohlíková</w:t>
      </w:r>
      <w:proofErr w:type="spellEnd"/>
      <w:r w:rsidRPr="005C659A">
        <w:t xml:space="preserve">, 2023). I still buy the idea: make thinking visible, tie artefacts to learning outcomes, and write brief “why it matters/what changed” notes. I just didn’t execute this round. </w:t>
      </w:r>
    </w:p>
    <w:p w14:paraId="5E012F20" w14:textId="77777777" w:rsidR="005C659A" w:rsidRPr="005C659A" w:rsidRDefault="005C659A" w:rsidP="00163173">
      <w:pPr>
        <w:ind w:firstLine="720"/>
      </w:pPr>
      <w:r w:rsidRPr="005C659A">
        <w:t xml:space="preserve">I structured this reflection with a simple “what/so what/now what.” That’s handy, but alone it can flatten critical depth. To avoid that, I’ve added a brief “limits &amp; alternatives” section here that surfaces assumptions, disconfirming evidence, and specific repairs (see also the “Short Guide to Reflective Writing”). I’m also tempering my reliance on means or single-point risk estimates; even in business settings, presenting distributional views avoids false certainty (Berenson et al., 2019; “Short Guide to Reflective Writing,” n.d.). </w:t>
      </w:r>
    </w:p>
    <w:p w14:paraId="3258E14C" w14:textId="77777777" w:rsidR="00163173" w:rsidRDefault="00163173">
      <w:pPr>
        <w:rPr>
          <w:b/>
          <w:bCs/>
        </w:rPr>
      </w:pPr>
      <w:r>
        <w:rPr>
          <w:b/>
          <w:bCs/>
        </w:rPr>
        <w:br w:type="page"/>
      </w:r>
    </w:p>
    <w:p w14:paraId="6E79C845" w14:textId="156DDA35" w:rsidR="005C659A" w:rsidRPr="005C659A" w:rsidRDefault="005C659A" w:rsidP="005C659A">
      <w:pPr>
        <w:rPr>
          <w:b/>
          <w:bCs/>
        </w:rPr>
      </w:pPr>
      <w:r w:rsidRPr="005C659A">
        <w:rPr>
          <w:b/>
          <w:bCs/>
        </w:rPr>
        <w:lastRenderedPageBreak/>
        <w:t xml:space="preserve">Now what </w:t>
      </w:r>
    </w:p>
    <w:p w14:paraId="5105039D" w14:textId="77777777" w:rsidR="005C659A" w:rsidRPr="005C659A" w:rsidRDefault="005C659A" w:rsidP="00163173">
      <w:pPr>
        <w:numPr>
          <w:ilvl w:val="0"/>
          <w:numId w:val="2"/>
        </w:numPr>
      </w:pPr>
      <w:r w:rsidRPr="005C659A">
        <w:t xml:space="preserve">Rebuild the two missed statistics artefacts. I’ll complete one </w:t>
      </w:r>
      <w:r w:rsidRPr="005C659A">
        <w:rPr>
          <w:i/>
          <w:iCs/>
        </w:rPr>
        <w:t>Summary Measures</w:t>
      </w:r>
      <w:r w:rsidRPr="005C659A">
        <w:t xml:space="preserve"> worksheet and one </w:t>
      </w:r>
      <w:r w:rsidRPr="005C659A">
        <w:rPr>
          <w:i/>
          <w:iCs/>
        </w:rPr>
        <w:t>Inference/Charts</w:t>
      </w:r>
      <w:r w:rsidRPr="005C659A">
        <w:t xml:space="preserve"> worksheet, each with 5–8 sentences of plain-language interpretation and one tidy figure. I’ll use guidance from Berenson et al. (2019) and the Purdue OWL page to keep reasoning transparent (Berenson et al., 2019; Purdue OWL, 2023). </w:t>
      </w:r>
    </w:p>
    <w:p w14:paraId="48688450" w14:textId="010A1A7E" w:rsidR="005C659A" w:rsidRPr="005C659A" w:rsidRDefault="005C659A" w:rsidP="00163173">
      <w:pPr>
        <w:numPr>
          <w:ilvl w:val="0"/>
          <w:numId w:val="2"/>
        </w:numPr>
      </w:pPr>
      <w:r w:rsidRPr="005C659A">
        <w:t xml:space="preserve">Design before methods. Before picking methods, I’ll write a one-page </w:t>
      </w:r>
      <w:r w:rsidRPr="005C659A">
        <w:rPr>
          <w:i/>
          <w:iCs/>
        </w:rPr>
        <w:t>design note</w:t>
      </w:r>
      <w:r w:rsidRPr="005C659A">
        <w:t>: research question, assumptions (ontology/epistemology), data needed, and analysis plan</w:t>
      </w:r>
      <w:r w:rsidR="001A0F43">
        <w:t xml:space="preserve">, </w:t>
      </w:r>
      <w:r w:rsidRPr="005C659A">
        <w:t xml:space="preserve">following the logic in Saunders et al. (2019). This forces me to explain how method choices hang together. </w:t>
      </w:r>
    </w:p>
    <w:p w14:paraId="6CA8C894" w14:textId="29CFE8CF" w:rsidR="005C659A" w:rsidRPr="005C659A" w:rsidRDefault="00163173" w:rsidP="00163173">
      <w:pPr>
        <w:numPr>
          <w:ilvl w:val="0"/>
          <w:numId w:val="2"/>
        </w:numPr>
      </w:pPr>
      <w:r w:rsidRPr="001A0F43">
        <w:t>Visualization</w:t>
      </w:r>
      <w:r w:rsidR="005C659A" w:rsidRPr="005C659A">
        <w:t xml:space="preserve"> with intent. I’ll adopt the FT Visual Vocabulary as a quick “chart chooser” and add a two-line caption to every figure stating </w:t>
      </w:r>
      <w:r w:rsidR="001A0F43">
        <w:t>firstly</w:t>
      </w:r>
      <w:r w:rsidR="005C659A" w:rsidRPr="005C659A">
        <w:t xml:space="preserve"> the question and </w:t>
      </w:r>
      <w:r w:rsidR="001A0F43">
        <w:t>secondly</w:t>
      </w:r>
      <w:r w:rsidR="005C659A" w:rsidRPr="005C659A">
        <w:t xml:space="preserve"> the exact mapping (Kosara, n.d.; Financial Times Visual Vocabulary, 2021). </w:t>
      </w:r>
    </w:p>
    <w:p w14:paraId="2223B59A" w14:textId="3823EBAA" w:rsidR="005C659A" w:rsidRPr="005C659A" w:rsidRDefault="005C659A" w:rsidP="00163173">
      <w:pPr>
        <w:numPr>
          <w:ilvl w:val="0"/>
          <w:numId w:val="2"/>
        </w:numPr>
      </w:pPr>
      <w:r w:rsidRPr="005C659A">
        <w:t xml:space="preserve">Ethics by checklist. For any colleague-facing data collection, I’ll apply a five-point checklist: purpose/lawful basis, consent/withdrawal, </w:t>
      </w:r>
      <w:r w:rsidR="00163173" w:rsidRPr="001A0F43">
        <w:t>minimization</w:t>
      </w:r>
      <w:r w:rsidRPr="005C659A">
        <w:t xml:space="preserve">/anonymity, secure storage/retention, and dissemination boundaries—grounded in Belmont/Menlo and the BCS Code (Belmont Report, 1979; Bailey et al., 2013; Finn &amp; Shilton, 2023). </w:t>
      </w:r>
    </w:p>
    <w:p w14:paraId="4EFA94B5" w14:textId="1D53E686" w:rsidR="005C659A" w:rsidRPr="005C659A" w:rsidRDefault="005C659A" w:rsidP="00163173">
      <w:pPr>
        <w:numPr>
          <w:ilvl w:val="0"/>
          <w:numId w:val="2"/>
        </w:numPr>
      </w:pPr>
      <w:r w:rsidRPr="005C659A">
        <w:t>Right-size the workload. The reality is that I can’t do everything in crunch periods. I’ll protect two short weekly blocks for methods practice or reading, and I’ll keep a tiny template library</w:t>
      </w:r>
      <w:r w:rsidR="001A0F43">
        <w:t xml:space="preserve">, this includes </w:t>
      </w:r>
      <w:r w:rsidRPr="005C659A">
        <w:t>review outline, slide deck, worksheet shell</w:t>
      </w:r>
      <w:r w:rsidR="001A0F43">
        <w:t>,</w:t>
      </w:r>
      <w:r w:rsidRPr="005C659A">
        <w:t xml:space="preserve"> so I’m never starting from a blank page (Dawson, 2015). </w:t>
      </w:r>
    </w:p>
    <w:p w14:paraId="7E27D3B1" w14:textId="77777777" w:rsidR="005C659A" w:rsidRPr="005C659A" w:rsidRDefault="005C659A" w:rsidP="00163173">
      <w:pPr>
        <w:numPr>
          <w:ilvl w:val="0"/>
          <w:numId w:val="2"/>
        </w:numPr>
      </w:pPr>
      <w:r w:rsidRPr="005C659A">
        <w:t xml:space="preserve">E-portfolio as “evidence, not everything.” I’ll curate only high-value artefacts: the two rebuilt worksheets, one or two well-labelled figures, the skills matrix, and this reflection—each with a three-bullet card (“Why it matters / What I learned / What I’ll change”), echoing Unit 11’s emphasis on purposeful reflection and employability links (Pospíšilová &amp; </w:t>
      </w:r>
      <w:proofErr w:type="spellStart"/>
      <w:r w:rsidRPr="005C659A">
        <w:t>Rohlíková</w:t>
      </w:r>
      <w:proofErr w:type="spellEnd"/>
      <w:r w:rsidRPr="005C659A">
        <w:t xml:space="preserve">, 2023; Janssens et al., 2022). </w:t>
      </w:r>
    </w:p>
    <w:p w14:paraId="58F13BBD" w14:textId="77777777" w:rsidR="005C659A" w:rsidRPr="005C659A" w:rsidRDefault="005C659A" w:rsidP="005C659A">
      <w:pPr>
        <w:rPr>
          <w:b/>
          <w:bCs/>
        </w:rPr>
      </w:pPr>
      <w:r w:rsidRPr="005C659A">
        <w:rPr>
          <w:b/>
          <w:bCs/>
        </w:rPr>
        <w:t>Conclusion</w:t>
      </w:r>
    </w:p>
    <w:p w14:paraId="144F2C48" w14:textId="66D21442" w:rsidR="00163173" w:rsidRDefault="001A0F43">
      <w:pPr>
        <w:rPr>
          <w:b/>
          <w:bCs/>
        </w:rPr>
      </w:pPr>
      <w:r>
        <w:t>The semester didn’t go as planned however</w:t>
      </w:r>
      <w:r w:rsidR="005C659A" w:rsidRPr="005C659A">
        <w:t xml:space="preserve"> I delivered the summative work and missed the formative trail. The core lesson is that research isn’t just about being right</w:t>
      </w:r>
      <w:r w:rsidR="00163173">
        <w:t xml:space="preserve">, </w:t>
      </w:r>
      <w:r w:rsidR="005C659A" w:rsidRPr="005C659A">
        <w:t>it’s about making thinking visible, quantifying uncertainty, and acting ethically. With small, repeatable habits</w:t>
      </w:r>
      <w:r w:rsidR="00163173">
        <w:t xml:space="preserve">, </w:t>
      </w:r>
      <w:r w:rsidR="005C659A" w:rsidRPr="005C659A">
        <w:t>design notes, two practical stats artefacts, intentional visuals, and an ethics checklist</w:t>
      </w:r>
      <w:r w:rsidR="00163173">
        <w:t xml:space="preserve">, </w:t>
      </w:r>
      <w:r w:rsidR="005C659A" w:rsidRPr="005C659A">
        <w:t>I can meet the module’s spirit while staying honest about constraints.</w:t>
      </w:r>
      <w:r w:rsidR="00163173">
        <w:rPr>
          <w:b/>
          <w:bCs/>
        </w:rPr>
        <w:br w:type="page"/>
      </w:r>
    </w:p>
    <w:p w14:paraId="6CACD789" w14:textId="4E2FA163" w:rsidR="005C659A" w:rsidRPr="005C659A" w:rsidRDefault="005C659A" w:rsidP="005C659A">
      <w:pPr>
        <w:rPr>
          <w:b/>
          <w:bCs/>
        </w:rPr>
      </w:pPr>
      <w:r w:rsidRPr="005C659A">
        <w:rPr>
          <w:b/>
          <w:bCs/>
        </w:rPr>
        <w:lastRenderedPageBreak/>
        <w:t>References</w:t>
      </w:r>
    </w:p>
    <w:p w14:paraId="3DD58454" w14:textId="3C628D6A" w:rsidR="005C659A" w:rsidRPr="005C659A" w:rsidRDefault="005C659A" w:rsidP="005C659A">
      <w:proofErr w:type="spellStart"/>
      <w:r w:rsidRPr="005C659A">
        <w:t>Ariningsih</w:t>
      </w:r>
      <w:proofErr w:type="spellEnd"/>
      <w:r w:rsidRPr="005C659A">
        <w:t xml:space="preserve">, N. K. D., </w:t>
      </w:r>
      <w:proofErr w:type="spellStart"/>
      <w:r w:rsidRPr="005C659A">
        <w:t>Artini</w:t>
      </w:r>
      <w:proofErr w:type="spellEnd"/>
      <w:r w:rsidRPr="005C659A">
        <w:t xml:space="preserve">, L. P., &amp; </w:t>
      </w:r>
      <w:proofErr w:type="spellStart"/>
      <w:r w:rsidRPr="005C659A">
        <w:t>Marsakawati</w:t>
      </w:r>
      <w:proofErr w:type="spellEnd"/>
      <w:r w:rsidRPr="005C659A">
        <w:t xml:space="preserve">, N. P. E. (2021). The effect of e-portfolio in project-based learning toward learner autonomy and writing competency. </w:t>
      </w:r>
      <w:r w:rsidRPr="005C659A">
        <w:rPr>
          <w:i/>
          <w:iCs/>
        </w:rPr>
        <w:t>Journal of Education Research and Evaluation, 5</w:t>
      </w:r>
      <w:r w:rsidRPr="005C659A">
        <w:t>(1), 32–41.</w:t>
      </w:r>
    </w:p>
    <w:p w14:paraId="4342512C" w14:textId="77777777" w:rsidR="005C659A" w:rsidRPr="005C659A" w:rsidRDefault="005C659A" w:rsidP="005C659A">
      <w:r w:rsidRPr="005C659A">
        <w:t xml:space="preserve">Bailey, M., Burstein, A., Claffy, K. C., Clayman, S., Dittrich, D., Heidemann, J., Kenneally, E., Maughan, D., McNeill, J., Neumann, P., Scheper, C., Tier, L., Papadopoulos, C., Visscher, W., &amp; Westby, J. (2013). </w:t>
      </w:r>
      <w:r w:rsidRPr="005C659A">
        <w:rPr>
          <w:i/>
          <w:iCs/>
        </w:rPr>
        <w:t>Applying ethical principles to information and communication technology research: A companion to the Menlo Report.</w:t>
      </w:r>
    </w:p>
    <w:p w14:paraId="6230E9D6" w14:textId="77777777" w:rsidR="005C659A" w:rsidRPr="005C659A" w:rsidRDefault="005C659A" w:rsidP="005C659A">
      <w:r w:rsidRPr="005C659A">
        <w:t xml:space="preserve">Belmont Report. (1979). </w:t>
      </w:r>
      <w:r w:rsidRPr="005C659A">
        <w:rPr>
          <w:i/>
          <w:iCs/>
        </w:rPr>
        <w:t>The Belmont Report: Ethical principles and guidelines for the protection of human subjects of research.</w:t>
      </w:r>
      <w:r w:rsidRPr="005C659A">
        <w:t xml:space="preserve"> U.S. Department of Health, Education, and Welfare.</w:t>
      </w:r>
    </w:p>
    <w:p w14:paraId="0987A351" w14:textId="77777777" w:rsidR="005C659A" w:rsidRPr="005C659A" w:rsidRDefault="005C659A" w:rsidP="005C659A">
      <w:r w:rsidRPr="005C659A">
        <w:t xml:space="preserve">Berenson, M. L., Levine, D. M., &amp; Szabat, K. A. (2019). </w:t>
      </w:r>
      <w:r w:rsidRPr="005C659A">
        <w:rPr>
          <w:i/>
          <w:iCs/>
        </w:rPr>
        <w:t>Basic business statistics: Concepts and applications</w:t>
      </w:r>
      <w:r w:rsidRPr="005C659A">
        <w:t xml:space="preserve"> (14th ed.). Pearson. </w:t>
      </w:r>
    </w:p>
    <w:p w14:paraId="33911578" w14:textId="77777777" w:rsidR="005C659A" w:rsidRPr="005C659A" w:rsidRDefault="005C659A" w:rsidP="005C659A">
      <w:r w:rsidRPr="005C659A">
        <w:t xml:space="preserve">Dawson, C. W. (2015). </w:t>
      </w:r>
      <w:r w:rsidRPr="005C659A">
        <w:rPr>
          <w:i/>
          <w:iCs/>
        </w:rPr>
        <w:t>Projects in computing and information systems: A student’s guide</w:t>
      </w:r>
      <w:r w:rsidRPr="005C659A">
        <w:t xml:space="preserve"> (3rd ed.). Pearson. </w:t>
      </w:r>
    </w:p>
    <w:p w14:paraId="5FF17B87" w14:textId="77777777" w:rsidR="005C659A" w:rsidRPr="005C659A" w:rsidRDefault="005C659A" w:rsidP="005C659A">
      <w:r w:rsidRPr="005C659A">
        <w:t xml:space="preserve">Farquhar, J. D. (2012). Writing and presenting your research. In </w:t>
      </w:r>
      <w:r w:rsidRPr="005C659A">
        <w:rPr>
          <w:i/>
          <w:iCs/>
        </w:rPr>
        <w:t>Case study research for business</w:t>
      </w:r>
      <w:r w:rsidRPr="005C659A">
        <w:t xml:space="preserve"> (pp. 149–171). Sage. </w:t>
      </w:r>
    </w:p>
    <w:p w14:paraId="4E1CC934" w14:textId="77777777" w:rsidR="005C659A" w:rsidRPr="005C659A" w:rsidRDefault="005C659A" w:rsidP="005C659A">
      <w:r w:rsidRPr="005C659A">
        <w:t xml:space="preserve">Finn, M., &amp; Shilton, K. (2023). Ethics governance development: The case of the Menlo Report. </w:t>
      </w:r>
      <w:r w:rsidRPr="005C659A">
        <w:rPr>
          <w:i/>
          <w:iCs/>
        </w:rPr>
        <w:t>Social Studies of Science, 53</w:t>
      </w:r>
      <w:r w:rsidRPr="005C659A">
        <w:t xml:space="preserve">(3), 315–340. </w:t>
      </w:r>
    </w:p>
    <w:p w14:paraId="415F9D97" w14:textId="77777777" w:rsidR="005C659A" w:rsidRPr="005C659A" w:rsidRDefault="005C659A" w:rsidP="005C659A">
      <w:r w:rsidRPr="005C659A">
        <w:t xml:space="preserve">Financial Times Visual Vocabulary. (2021). </w:t>
      </w:r>
      <w:r w:rsidRPr="005C659A">
        <w:rPr>
          <w:i/>
          <w:iCs/>
        </w:rPr>
        <w:t>Charts that work.</w:t>
      </w:r>
      <w:r w:rsidRPr="005C659A">
        <w:t xml:space="preserve"> </w:t>
      </w:r>
    </w:p>
    <w:p w14:paraId="0C2D918F" w14:textId="77777777" w:rsidR="005C659A" w:rsidRPr="005C659A" w:rsidRDefault="005C659A" w:rsidP="005C659A">
      <w:r w:rsidRPr="005C659A">
        <w:t xml:space="preserve">Janssens, O., </w:t>
      </w:r>
      <w:proofErr w:type="spellStart"/>
      <w:r w:rsidRPr="005C659A">
        <w:t>Haerens</w:t>
      </w:r>
      <w:proofErr w:type="spellEnd"/>
      <w:r w:rsidRPr="005C659A">
        <w:t xml:space="preserve">, L., Valcke, M., Beeckman, D., </w:t>
      </w:r>
      <w:proofErr w:type="spellStart"/>
      <w:r w:rsidRPr="005C659A">
        <w:t>Pype</w:t>
      </w:r>
      <w:proofErr w:type="spellEnd"/>
      <w:r w:rsidRPr="005C659A">
        <w:t xml:space="preserve">, P., &amp; Embo, M. (2022). The role of e-Portfolios in supporting learning in eight healthcare disciplines: A scoping review. </w:t>
      </w:r>
      <w:r w:rsidRPr="005C659A">
        <w:rPr>
          <w:i/>
          <w:iCs/>
        </w:rPr>
        <w:t>Nurse Education in Practice, 62</w:t>
      </w:r>
      <w:r w:rsidRPr="005C659A">
        <w:t xml:space="preserve">, 102-671. </w:t>
      </w:r>
    </w:p>
    <w:p w14:paraId="4B35DD69" w14:textId="77777777" w:rsidR="005C659A" w:rsidRPr="005C659A" w:rsidRDefault="005C659A" w:rsidP="005C659A">
      <w:r w:rsidRPr="005C659A">
        <w:t xml:space="preserve">Kosara, R. (n.d.). </w:t>
      </w:r>
      <w:r w:rsidRPr="005C659A">
        <w:rPr>
          <w:i/>
          <w:iCs/>
        </w:rPr>
        <w:t>The why and how of data visualization (Part 1).</w:t>
      </w:r>
      <w:r w:rsidRPr="005C659A">
        <w:t xml:space="preserve"> </w:t>
      </w:r>
    </w:p>
    <w:p w14:paraId="6C7BE367" w14:textId="77777777" w:rsidR="005C659A" w:rsidRPr="005C659A" w:rsidRDefault="005C659A" w:rsidP="005C659A">
      <w:r w:rsidRPr="005C659A">
        <w:t xml:space="preserve">Microsoft. (n.d.). </w:t>
      </w:r>
      <w:r w:rsidRPr="005C659A">
        <w:rPr>
          <w:i/>
          <w:iCs/>
        </w:rPr>
        <w:t>What is a data dashboard?</w:t>
      </w:r>
      <w:r w:rsidRPr="005C659A">
        <w:t xml:space="preserve"> </w:t>
      </w:r>
    </w:p>
    <w:p w14:paraId="67CFD396" w14:textId="77777777" w:rsidR="005C659A" w:rsidRPr="005C659A" w:rsidRDefault="005C659A" w:rsidP="005C659A">
      <w:r w:rsidRPr="005C659A">
        <w:t xml:space="preserve">Paré, G. (2017). Methods for literature reviews. In </w:t>
      </w:r>
      <w:r w:rsidRPr="005C659A">
        <w:rPr>
          <w:i/>
          <w:iCs/>
        </w:rPr>
        <w:t>Information systems research</w:t>
      </w:r>
      <w:r w:rsidRPr="005C659A">
        <w:t xml:space="preserve"> (pp. 139–183). </w:t>
      </w:r>
    </w:p>
    <w:p w14:paraId="2AF5145C" w14:textId="77777777" w:rsidR="005C659A" w:rsidRPr="005C659A" w:rsidRDefault="005C659A" w:rsidP="005C659A">
      <w:r w:rsidRPr="005C659A">
        <w:t xml:space="preserve">Purdue OWL. (2023). </w:t>
      </w:r>
      <w:r w:rsidRPr="005C659A">
        <w:rPr>
          <w:i/>
          <w:iCs/>
        </w:rPr>
        <w:t>Basic inferential statistics: Theory and application.</w:t>
      </w:r>
      <w:r w:rsidRPr="005C659A">
        <w:t xml:space="preserve"> </w:t>
      </w:r>
    </w:p>
    <w:p w14:paraId="171AD25C" w14:textId="77777777" w:rsidR="005C659A" w:rsidRPr="005C659A" w:rsidRDefault="005C659A" w:rsidP="005C659A">
      <w:r w:rsidRPr="005C659A">
        <w:t xml:space="preserve">Saunders, M., Lewis, P., &amp; Thornhill, A. (2019). </w:t>
      </w:r>
      <w:r w:rsidRPr="005C659A">
        <w:rPr>
          <w:i/>
          <w:iCs/>
        </w:rPr>
        <w:t>Research methods for business students</w:t>
      </w:r>
      <w:r w:rsidRPr="005C659A">
        <w:t xml:space="preserve"> (8th ed.). Pearson. </w:t>
      </w:r>
    </w:p>
    <w:p w14:paraId="1070381C" w14:textId="2BD7EB62" w:rsidR="005C659A" w:rsidRDefault="005C659A">
      <w:r w:rsidRPr="005C659A">
        <w:t xml:space="preserve">Wilson, J. R. (2022). </w:t>
      </w:r>
      <w:r w:rsidRPr="005C659A">
        <w:rPr>
          <w:i/>
          <w:iCs/>
        </w:rPr>
        <w:t>Academic writing.</w:t>
      </w:r>
      <w:r w:rsidRPr="005C659A">
        <w:t xml:space="preserve"> Anthem Press. </w:t>
      </w:r>
    </w:p>
    <w:sectPr w:rsidR="005C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C0D9F"/>
    <w:multiLevelType w:val="multilevel"/>
    <w:tmpl w:val="346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D6450"/>
    <w:multiLevelType w:val="multilevel"/>
    <w:tmpl w:val="47E2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370910">
    <w:abstractNumId w:val="1"/>
  </w:num>
  <w:num w:numId="2" w16cid:durableId="114531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9A"/>
    <w:rsid w:val="00163173"/>
    <w:rsid w:val="001A0F43"/>
    <w:rsid w:val="00530AA1"/>
    <w:rsid w:val="005C659A"/>
    <w:rsid w:val="00A535EB"/>
    <w:rsid w:val="00A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A332"/>
  <w15:chartTrackingRefBased/>
  <w15:docId w15:val="{128A8F6F-5C01-4639-8AC4-17E6C733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Lim</dc:creator>
  <cp:keywords/>
  <dc:description/>
  <cp:lastModifiedBy>tlab</cp:lastModifiedBy>
  <cp:revision>1</cp:revision>
  <dcterms:created xsi:type="dcterms:W3CDTF">2025-10-20T18:21:00Z</dcterms:created>
  <dcterms:modified xsi:type="dcterms:W3CDTF">2025-10-20T19:23:00Z</dcterms:modified>
</cp:coreProperties>
</file>