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3CE75" w14:textId="40F8EC77"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Title</w:t>
      </w:r>
    </w:p>
    <w:p w14:paraId="40F45125"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Good day. I’m Tyrone Lim. My proposal is titled “A Quantitative Framework for Assessing Cloud Security Risks in Caribbean Port Operations,” with Kingston Freeport Terminal Limited (KFTL) as the case study.</w:t>
      </w:r>
    </w:p>
    <w:p w14:paraId="77D9CED5"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The goal is practical and measurable, it turns cloud security risk into numbers that leaders can use, making sure they’re in line with the Jamaica Data Protection Act (JDPA) and mapped to also recognized cloud security controls (ISO/IEC 27017; CSA).</w:t>
      </w:r>
    </w:p>
    <w:p w14:paraId="79E0ABC6" w14:textId="77777777" w:rsidR="00BC3731" w:rsidRPr="007102A3" w:rsidRDefault="00BC3731" w:rsidP="007102A3">
      <w:pPr>
        <w:spacing w:after="0" w:line="276" w:lineRule="auto"/>
        <w:rPr>
          <w:rFonts w:ascii="Times New Roman" w:hAnsi="Times New Roman" w:cs="Times New Roman"/>
        </w:rPr>
      </w:pPr>
    </w:p>
    <w:p w14:paraId="3B2AC86F" w14:textId="500B649C"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Research Problem</w:t>
      </w:r>
    </w:p>
    <w:p w14:paraId="73582DC0"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Ports now depend on cloud for Terminal Operating Systems and Port Community Systems, analytics, identity, and security operations. A persistent theme in the threat literature is that misconfiguration remains a common driver of cloud incidents as said in ENISA’s Threat Landscape 2023 highlights (ENISA, 2023).</w:t>
      </w:r>
    </w:p>
    <w:p w14:paraId="18E02061"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Risk is amplified by identity sprawl: Microsoft (2023) reported workload identities outnumber human identities by ~10:1, and CyberArk (2025) found ~80+:1 in some estates. That means far more non-human credentials and tokens to govern.</w:t>
      </w:r>
    </w:p>
    <w:p w14:paraId="6946E601"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Sophos says that the average cost of recovering from ransomware went down from about $2.73M in 2024 to about $1.53M in 2025,</w:t>
      </w:r>
      <w:r w:rsidRPr="007102A3">
        <w:rPr>
          <w:rFonts w:ascii="Times New Roman" w:eastAsia="Times New Roman" w:hAnsi="Times New Roman" w:cs="Times New Roman"/>
          <w:kern w:val="0"/>
          <w14:ligatures w14:val="none"/>
        </w:rPr>
        <w:t xml:space="preserve"> </w:t>
      </w:r>
      <w:r w:rsidRPr="007102A3">
        <w:rPr>
          <w:rFonts w:ascii="Times New Roman" w:hAnsi="Times New Roman" w:cs="Times New Roman"/>
        </w:rPr>
        <w:t>but it was still a big deal for operations (Sophos, 2024; Sophos, 2025).</w:t>
      </w:r>
    </w:p>
    <w:p w14:paraId="5FF29A1D"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Regulatory context: The JDPA says that if a data controller learns of a personal data breach within 72 hours, they must tell the Information Commissioner and, if necessary, the data subjects (OIC Jamaica, JDPA guidelines).</w:t>
      </w:r>
    </w:p>
    <w:p w14:paraId="790F3DFF"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Problem: As of now, there isn't a quantitative way for Caribbean ports to connect cloud risk indicators like identity hygiene, API trust, configuration drift, backup integrity, and provider concentration to operational KPIs like downtime and MTTR as well as streamline mediums for evidence to OIC.</w:t>
      </w:r>
    </w:p>
    <w:p w14:paraId="58CA5C51"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Contribution: I suggest a clear, measurable approach with a Cloud Risk Index (CRI) and a dashboard that decision-makers can use to prioritize controls, show why investments are necessary, and keep track of compliance.</w:t>
      </w:r>
    </w:p>
    <w:p w14:paraId="664472DB" w14:textId="77777777" w:rsidR="00BC3731" w:rsidRPr="007102A3" w:rsidRDefault="00BC3731" w:rsidP="007102A3">
      <w:pPr>
        <w:spacing w:after="0" w:line="276" w:lineRule="auto"/>
        <w:rPr>
          <w:rFonts w:ascii="Times New Roman" w:hAnsi="Times New Roman" w:cs="Times New Roman"/>
        </w:rPr>
      </w:pPr>
    </w:p>
    <w:p w14:paraId="6AF716D2" w14:textId="62B98DBE"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Research Question</w:t>
      </w:r>
    </w:p>
    <w:p w14:paraId="24335945"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 xml:space="preserve">Research question: </w:t>
      </w:r>
      <w:r w:rsidRPr="007102A3">
        <w:rPr>
          <w:rFonts w:ascii="Times New Roman" w:hAnsi="Times New Roman" w:cs="Times New Roman"/>
          <w:i/>
          <w:iCs/>
        </w:rPr>
        <w:t>How can Caribbean port operators quantitatively assess and manage cloud security risks to ensure operational resilience and JDPA compliance?</w:t>
      </w:r>
    </w:p>
    <w:p w14:paraId="60F483F5"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Supporting this, there are three sub-questions:</w:t>
      </w:r>
    </w:p>
    <w:p w14:paraId="1F772A51" w14:textId="77777777" w:rsidR="00BC3731" w:rsidRPr="007102A3" w:rsidRDefault="00BC3731" w:rsidP="007102A3">
      <w:pPr>
        <w:numPr>
          <w:ilvl w:val="0"/>
          <w:numId w:val="1"/>
        </w:numPr>
        <w:spacing w:after="0" w:line="276" w:lineRule="auto"/>
        <w:rPr>
          <w:rFonts w:ascii="Times New Roman" w:hAnsi="Times New Roman" w:cs="Times New Roman"/>
        </w:rPr>
      </w:pPr>
      <w:r w:rsidRPr="007102A3">
        <w:rPr>
          <w:rFonts w:ascii="Times New Roman" w:hAnsi="Times New Roman" w:cs="Times New Roman"/>
        </w:rPr>
        <w:t xml:space="preserve">1. Which risk groups most impact port operations, IAM, misconfiguration, API/integration, ransomware/service continuity, and concentration risk? (ENISA, 2023; OWASP API </w:t>
      </w:r>
      <w:proofErr w:type="gramStart"/>
      <w:r w:rsidRPr="007102A3">
        <w:rPr>
          <w:rFonts w:ascii="Times New Roman" w:hAnsi="Times New Roman" w:cs="Times New Roman"/>
        </w:rPr>
        <w:t>Top-10</w:t>
      </w:r>
      <w:proofErr w:type="gramEnd"/>
      <w:r w:rsidRPr="007102A3">
        <w:rPr>
          <w:rFonts w:ascii="Times New Roman" w:hAnsi="Times New Roman" w:cs="Times New Roman"/>
        </w:rPr>
        <w:t xml:space="preserve">, 2023; </w:t>
      </w:r>
      <w:r w:rsidRPr="007102A3">
        <w:rPr>
          <w:rFonts w:ascii="Times New Roman" w:hAnsi="Times New Roman" w:cs="Times New Roman"/>
          <w:i/>
          <w:iCs/>
        </w:rPr>
        <w:t>Cyber Threat Landscape Report, 2023</w:t>
      </w:r>
      <w:r w:rsidRPr="007102A3">
        <w:rPr>
          <w:rFonts w:ascii="Times New Roman" w:hAnsi="Times New Roman" w:cs="Times New Roman"/>
        </w:rPr>
        <w:t>)</w:t>
      </w:r>
    </w:p>
    <w:p w14:paraId="399F36E0" w14:textId="77777777" w:rsidR="00BC3731" w:rsidRPr="007102A3" w:rsidRDefault="00BC3731" w:rsidP="007102A3">
      <w:pPr>
        <w:numPr>
          <w:ilvl w:val="0"/>
          <w:numId w:val="1"/>
        </w:numPr>
        <w:spacing w:after="0" w:line="276" w:lineRule="auto"/>
        <w:rPr>
          <w:rFonts w:ascii="Times New Roman" w:hAnsi="Times New Roman" w:cs="Times New Roman"/>
        </w:rPr>
      </w:pPr>
      <w:r w:rsidRPr="007102A3">
        <w:rPr>
          <w:rFonts w:ascii="Times New Roman" w:hAnsi="Times New Roman" w:cs="Times New Roman"/>
        </w:rPr>
        <w:t>Which metrics, such as Non-Human Identity ratio, Baseline Drift Rate, API auth failure rate, Backup Integrity, and HHI (Herfindahl–Hirschman Index) concentration, are most effective in capturing likelihood and impact in a port context?</w:t>
      </w:r>
    </w:p>
    <w:p w14:paraId="2C08F3DC" w14:textId="77777777" w:rsidR="00BC3731" w:rsidRPr="007102A3" w:rsidRDefault="00BC3731" w:rsidP="007102A3">
      <w:pPr>
        <w:numPr>
          <w:ilvl w:val="0"/>
          <w:numId w:val="1"/>
        </w:numPr>
        <w:spacing w:after="0" w:line="276" w:lineRule="auto"/>
        <w:rPr>
          <w:rFonts w:ascii="Times New Roman" w:hAnsi="Times New Roman" w:cs="Times New Roman"/>
        </w:rPr>
      </w:pPr>
      <w:r w:rsidRPr="007102A3">
        <w:rPr>
          <w:rFonts w:ascii="Times New Roman" w:eastAsia="Times New Roman" w:hAnsi="Times New Roman" w:cs="Times New Roman"/>
          <w:kern w:val="0"/>
          <w14:ligatures w14:val="none"/>
        </w:rPr>
        <w:t>How can we create an explainable CRI and dashboard aligned with ISO/IEC 27017 and CSA CCM v4? (</w:t>
      </w:r>
      <w:r w:rsidRPr="007102A3">
        <w:rPr>
          <w:rFonts w:ascii="Times New Roman" w:eastAsia="Times New Roman" w:hAnsi="Times New Roman" w:cs="Times New Roman"/>
          <w:i/>
          <w:iCs/>
          <w:kern w:val="0"/>
          <w14:ligatures w14:val="none"/>
        </w:rPr>
        <w:t>ISO/IEC 27017:2015</w:t>
      </w:r>
      <w:r w:rsidRPr="007102A3">
        <w:rPr>
          <w:rFonts w:ascii="Times New Roman" w:eastAsia="Times New Roman" w:hAnsi="Times New Roman" w:cs="Times New Roman"/>
          <w:kern w:val="0"/>
          <w14:ligatures w14:val="none"/>
        </w:rPr>
        <w:t xml:space="preserve"> 2025)</w:t>
      </w:r>
    </w:p>
    <w:p w14:paraId="6E801982" w14:textId="77777777" w:rsidR="00BC3731" w:rsidRPr="007102A3" w:rsidRDefault="00BC3731" w:rsidP="007102A3">
      <w:pPr>
        <w:spacing w:after="0" w:line="276" w:lineRule="auto"/>
        <w:rPr>
          <w:rFonts w:ascii="Times New Roman" w:hAnsi="Times New Roman" w:cs="Times New Roman"/>
        </w:rPr>
      </w:pPr>
    </w:p>
    <w:p w14:paraId="435F8138" w14:textId="037F91DC"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Aims and Objectives</w:t>
      </w:r>
    </w:p>
    <w:p w14:paraId="41ED17E3"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Aim: Develop and validate a quantitative cloud-risk assessment framework for port operations; demonstrate with KFTL.</w:t>
      </w:r>
    </w:p>
    <w:p w14:paraId="3FBA3170"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Objectives:</w:t>
      </w:r>
    </w:p>
    <w:p w14:paraId="65076496" w14:textId="601F9DA5" w:rsidR="00BC3731" w:rsidRPr="007102A3" w:rsidRDefault="00BC3731" w:rsidP="007102A3">
      <w:pPr>
        <w:spacing w:after="0" w:line="276" w:lineRule="auto"/>
        <w:ind w:left="720"/>
        <w:rPr>
          <w:rFonts w:ascii="Times New Roman" w:hAnsi="Times New Roman" w:cs="Times New Roman"/>
        </w:rPr>
      </w:pPr>
      <w:r w:rsidRPr="007102A3">
        <w:rPr>
          <w:rFonts w:ascii="Times New Roman" w:hAnsi="Times New Roman" w:cs="Times New Roman"/>
        </w:rPr>
        <w:t>1: Derive indicators from peer-reviewed and standards sources—ENISA (2023), OWASP API Top 10 (2023), ISO/IEC 27017, CSA CCM v4.</w:t>
      </w:r>
    </w:p>
    <w:p w14:paraId="67AAB298" w14:textId="37EFAF24" w:rsidR="00BC3731" w:rsidRPr="007102A3" w:rsidRDefault="00BC3731" w:rsidP="007102A3">
      <w:pPr>
        <w:spacing w:after="0" w:line="276" w:lineRule="auto"/>
        <w:ind w:left="720"/>
        <w:rPr>
          <w:rFonts w:ascii="Times New Roman" w:hAnsi="Times New Roman" w:cs="Times New Roman"/>
        </w:rPr>
      </w:pPr>
      <w:r w:rsidRPr="007102A3">
        <w:rPr>
          <w:rFonts w:ascii="Times New Roman" w:hAnsi="Times New Roman" w:cs="Times New Roman"/>
        </w:rPr>
        <w:t>2: Collect and analyze KFTL telemetry and governance artifacts; contextualize with benchmarks like Sophos (2024/2025) for ransomware recovery costs and trusted cloud market share reporting for concentration risk.</w:t>
      </w:r>
    </w:p>
    <w:p w14:paraId="1A9264D6" w14:textId="011EB6A6" w:rsidR="00BC3731" w:rsidRPr="007102A3" w:rsidRDefault="00BC3731" w:rsidP="007102A3">
      <w:pPr>
        <w:spacing w:after="0" w:line="276" w:lineRule="auto"/>
        <w:ind w:left="720"/>
        <w:rPr>
          <w:rFonts w:ascii="Times New Roman" w:hAnsi="Times New Roman" w:cs="Times New Roman"/>
        </w:rPr>
      </w:pPr>
      <w:r w:rsidRPr="007102A3">
        <w:rPr>
          <w:rFonts w:ascii="Times New Roman" w:hAnsi="Times New Roman" w:cs="Times New Roman"/>
        </w:rPr>
        <w:t>3: Build an explainable CRI (family scores + weighting) with what-if analysis.</w:t>
      </w:r>
    </w:p>
    <w:p w14:paraId="7D3323A1" w14:textId="1251A51F" w:rsidR="00BC3731" w:rsidRPr="007102A3" w:rsidRDefault="00BC3731" w:rsidP="007102A3">
      <w:pPr>
        <w:spacing w:after="0" w:line="276" w:lineRule="auto"/>
        <w:ind w:left="720"/>
        <w:rPr>
          <w:rFonts w:ascii="Times New Roman" w:hAnsi="Times New Roman" w:cs="Times New Roman"/>
        </w:rPr>
      </w:pPr>
      <w:r w:rsidRPr="007102A3">
        <w:rPr>
          <w:rFonts w:ascii="Times New Roman" w:hAnsi="Times New Roman" w:cs="Times New Roman"/>
        </w:rPr>
        <w:t>4: Validate with practitioners; run sensitivity checks on thresholds.</w:t>
      </w:r>
    </w:p>
    <w:p w14:paraId="2DEAD90A" w14:textId="61384D2F" w:rsidR="00BC3731" w:rsidRPr="007102A3" w:rsidRDefault="00BC3731" w:rsidP="007102A3">
      <w:pPr>
        <w:spacing w:after="0" w:line="276" w:lineRule="auto"/>
        <w:ind w:left="720"/>
        <w:rPr>
          <w:rFonts w:ascii="Times New Roman" w:hAnsi="Times New Roman" w:cs="Times New Roman"/>
        </w:rPr>
      </w:pPr>
      <w:r w:rsidRPr="007102A3">
        <w:rPr>
          <w:rFonts w:ascii="Times New Roman" w:hAnsi="Times New Roman" w:cs="Times New Roman"/>
        </w:rPr>
        <w:lastRenderedPageBreak/>
        <w:t>5: Deliver artefacts: dashboard, measurement handbook, and a JDPA/controls crosswalk.</w:t>
      </w:r>
    </w:p>
    <w:p w14:paraId="259530B9" w14:textId="77777777" w:rsidR="00BC3731" w:rsidRPr="007102A3" w:rsidRDefault="00BC3731" w:rsidP="007102A3">
      <w:pPr>
        <w:spacing w:after="0" w:line="276" w:lineRule="auto"/>
        <w:rPr>
          <w:rFonts w:ascii="Times New Roman" w:hAnsi="Times New Roman" w:cs="Times New Roman"/>
        </w:rPr>
      </w:pPr>
    </w:p>
    <w:p w14:paraId="677AE5BF" w14:textId="47F5EEE2"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Key Literature Related to the Project</w:t>
      </w:r>
    </w:p>
    <w:p w14:paraId="70CCC798"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IAM: The literature shows workload identities dominate, creating governance load and potential for over-privilege and stale tokens (Microsoft, 2023; CyberArk, 2025). We adopt least privilege, short-lived credentials, and token rotation as core mitigations.</w:t>
      </w:r>
    </w:p>
    <w:p w14:paraId="7B12120B"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Configuration: Misconfiguration remains a top-ranked cause of cloud incidents, per ENISA (2023). We emphasize policy-as-code, baseline enforcement, and drift detection.</w:t>
      </w:r>
    </w:p>
    <w:p w14:paraId="7F4B2BB3"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API/Integration: The OWASP API Top 10 (2023) identifies broken object-level authorization and authentication flaws; consequently, we quantify authorization failures and assess service-to-service trust (</w:t>
      </w:r>
      <w:proofErr w:type="spellStart"/>
      <w:r w:rsidRPr="007102A3">
        <w:rPr>
          <w:rFonts w:ascii="Times New Roman" w:hAnsi="Times New Roman" w:cs="Times New Roman"/>
        </w:rPr>
        <w:t>mTLS</w:t>
      </w:r>
      <w:proofErr w:type="spellEnd"/>
      <w:r w:rsidRPr="007102A3">
        <w:rPr>
          <w:rFonts w:ascii="Times New Roman" w:hAnsi="Times New Roman" w:cs="Times New Roman"/>
        </w:rPr>
        <w:t>, token scope, IP allowlists, pen-test evidence).</w:t>
      </w:r>
    </w:p>
    <w:p w14:paraId="01D86E0A" w14:textId="77777777" w:rsidR="00BC3731" w:rsidRPr="007102A3" w:rsidRDefault="00BC3731" w:rsidP="007102A3">
      <w:pPr>
        <w:spacing w:after="0" w:line="276" w:lineRule="auto"/>
        <w:rPr>
          <w:rFonts w:ascii="Times New Roman" w:eastAsia="Times New Roman" w:hAnsi="Times New Roman" w:cs="Times New Roman"/>
          <w:kern w:val="0"/>
          <w14:ligatures w14:val="none"/>
        </w:rPr>
      </w:pPr>
      <w:r w:rsidRPr="007102A3">
        <w:rPr>
          <w:rFonts w:ascii="Times New Roman" w:hAnsi="Times New Roman" w:cs="Times New Roman"/>
        </w:rPr>
        <w:t xml:space="preserve">Resilience/Ransomware: </w:t>
      </w:r>
      <w:r w:rsidRPr="007102A3">
        <w:rPr>
          <w:rFonts w:ascii="Times New Roman" w:eastAsia="Times New Roman" w:hAnsi="Times New Roman" w:cs="Times New Roman"/>
          <w:kern w:val="0"/>
          <w14:ligatures w14:val="none"/>
        </w:rPr>
        <w:t>According to Sophos (2024; 2025), recovery remains costly; consequently, Backup Integrity, MTTD/MTTR, and downtime minutes are critical outcomes to monitor.</w:t>
      </w:r>
    </w:p>
    <w:p w14:paraId="67021A6C"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Concentration: Major cloud markets remain moderately to highly concentrated. We quantify this using HHI (Herfindahl–Hirschman Index) and interpret bands against U.S. Merger Guidelines to determine systemic vendor risk.</w:t>
      </w:r>
    </w:p>
    <w:p w14:paraId="56BC8231"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Maritime guidance: IMO and BIMCO give sector-level guidance; this project operationalizes them into testable metrics.</w:t>
      </w:r>
    </w:p>
    <w:p w14:paraId="18DB844B" w14:textId="77777777" w:rsidR="00BC3731" w:rsidRPr="007102A3" w:rsidRDefault="00BC3731" w:rsidP="007102A3">
      <w:pPr>
        <w:spacing w:after="0" w:line="276" w:lineRule="auto"/>
        <w:rPr>
          <w:rFonts w:ascii="Times New Roman" w:hAnsi="Times New Roman" w:cs="Times New Roman"/>
        </w:rPr>
      </w:pPr>
    </w:p>
    <w:p w14:paraId="386EF9B4" w14:textId="40DA3E5A"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Research Design</w:t>
      </w:r>
    </w:p>
    <w:p w14:paraId="146E3AAC"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Design: Explanatory-sequential mixed methods—quantitative core followed by qualitative validation.</w:t>
      </w:r>
    </w:p>
    <w:p w14:paraId="63CD8883" w14:textId="77777777" w:rsidR="00BC3731" w:rsidRPr="007102A3" w:rsidRDefault="00BC3731" w:rsidP="007102A3">
      <w:pPr>
        <w:numPr>
          <w:ilvl w:val="0"/>
          <w:numId w:val="3"/>
        </w:numPr>
        <w:spacing w:after="0" w:line="276" w:lineRule="auto"/>
        <w:rPr>
          <w:rFonts w:ascii="Times New Roman" w:hAnsi="Times New Roman" w:cs="Times New Roman"/>
        </w:rPr>
      </w:pPr>
      <w:r w:rsidRPr="007102A3">
        <w:rPr>
          <w:rFonts w:ascii="Times New Roman" w:hAnsi="Times New Roman" w:cs="Times New Roman"/>
        </w:rPr>
        <w:t>Quant core: build/test links between indicators and outcomes (downtime, MTTR, incident counts).</w:t>
      </w:r>
    </w:p>
    <w:p w14:paraId="5EFAF3FD" w14:textId="77777777" w:rsidR="00BC3731" w:rsidRPr="007102A3" w:rsidRDefault="00BC3731" w:rsidP="007102A3">
      <w:pPr>
        <w:numPr>
          <w:ilvl w:val="0"/>
          <w:numId w:val="3"/>
        </w:numPr>
        <w:spacing w:after="0" w:line="276" w:lineRule="auto"/>
        <w:rPr>
          <w:rFonts w:ascii="Times New Roman" w:hAnsi="Times New Roman" w:cs="Times New Roman"/>
        </w:rPr>
      </w:pPr>
      <w:r w:rsidRPr="007102A3">
        <w:rPr>
          <w:rFonts w:ascii="Times New Roman" w:hAnsi="Times New Roman" w:cs="Times New Roman"/>
        </w:rPr>
        <w:t>Qual validation: short interviews/workshops for member-checking and to refine thresholds and weights.</w:t>
      </w:r>
    </w:p>
    <w:p w14:paraId="5C6F080D"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Unit &amp; sampling: The unit is a service-month (e.g., “TOS API Gateway in July”). Target ≥50 service-months across ~6 months to support multi-variable models.</w:t>
      </w:r>
    </w:p>
    <w:p w14:paraId="2A94BE14"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Data sources:</w:t>
      </w:r>
    </w:p>
    <w:p w14:paraId="274CD990" w14:textId="77777777" w:rsidR="00BC3731" w:rsidRPr="007102A3" w:rsidRDefault="00BC3731" w:rsidP="007102A3">
      <w:pPr>
        <w:numPr>
          <w:ilvl w:val="0"/>
          <w:numId w:val="4"/>
        </w:numPr>
        <w:spacing w:after="0" w:line="276" w:lineRule="auto"/>
        <w:rPr>
          <w:rFonts w:ascii="Times New Roman" w:hAnsi="Times New Roman" w:cs="Times New Roman"/>
        </w:rPr>
      </w:pPr>
      <w:r w:rsidRPr="007102A3">
        <w:rPr>
          <w:rFonts w:ascii="Times New Roman" w:hAnsi="Times New Roman" w:cs="Times New Roman"/>
        </w:rPr>
        <w:t xml:space="preserve">Telemetry: identity directory, cloud audit logs, </w:t>
      </w:r>
      <w:proofErr w:type="spellStart"/>
      <w:r w:rsidRPr="007102A3">
        <w:rPr>
          <w:rFonts w:ascii="Times New Roman" w:hAnsi="Times New Roman" w:cs="Times New Roman"/>
        </w:rPr>
        <w:t>IaC</w:t>
      </w:r>
      <w:proofErr w:type="spellEnd"/>
      <w:r w:rsidRPr="007102A3">
        <w:rPr>
          <w:rFonts w:ascii="Times New Roman" w:hAnsi="Times New Roman" w:cs="Times New Roman"/>
        </w:rPr>
        <w:t>/policy scanner results, API gateway/WAF logs, SIEM alerts, backup/restore reports, incident tickets.</w:t>
      </w:r>
    </w:p>
    <w:p w14:paraId="4A432A0D" w14:textId="77777777" w:rsidR="00BC3731" w:rsidRPr="007102A3" w:rsidRDefault="00BC3731" w:rsidP="007102A3">
      <w:pPr>
        <w:numPr>
          <w:ilvl w:val="0"/>
          <w:numId w:val="4"/>
        </w:numPr>
        <w:spacing w:after="0" w:line="276" w:lineRule="auto"/>
        <w:rPr>
          <w:rFonts w:ascii="Times New Roman" w:hAnsi="Times New Roman" w:cs="Times New Roman"/>
        </w:rPr>
      </w:pPr>
      <w:r w:rsidRPr="007102A3">
        <w:rPr>
          <w:rFonts w:ascii="Times New Roman" w:hAnsi="Times New Roman" w:cs="Times New Roman"/>
        </w:rPr>
        <w:t>Governance: DPIAs, risk registers, cross-border assessments.</w:t>
      </w:r>
    </w:p>
    <w:p w14:paraId="0DB10C2B" w14:textId="77777777" w:rsidR="00BC3731" w:rsidRPr="007102A3" w:rsidRDefault="00BC3731" w:rsidP="007102A3">
      <w:pPr>
        <w:numPr>
          <w:ilvl w:val="0"/>
          <w:numId w:val="4"/>
        </w:numPr>
        <w:spacing w:after="0" w:line="276" w:lineRule="auto"/>
        <w:rPr>
          <w:rFonts w:ascii="Times New Roman" w:hAnsi="Times New Roman" w:cs="Times New Roman"/>
        </w:rPr>
      </w:pPr>
      <w:r w:rsidRPr="007102A3">
        <w:rPr>
          <w:rFonts w:ascii="Times New Roman" w:hAnsi="Times New Roman" w:cs="Times New Roman"/>
        </w:rPr>
        <w:t>Benchmarks: ENISA (2023), OWASP (2023), Sophos (2024/2025), cloud market share reports (for concentration/HHI).</w:t>
      </w:r>
    </w:p>
    <w:p w14:paraId="5C2C801F"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Analysis plan:</w:t>
      </w:r>
    </w:p>
    <w:p w14:paraId="323C0F70" w14:textId="77777777" w:rsidR="00BC3731" w:rsidRPr="007102A3" w:rsidRDefault="00BC3731" w:rsidP="007102A3">
      <w:pPr>
        <w:numPr>
          <w:ilvl w:val="0"/>
          <w:numId w:val="5"/>
        </w:numPr>
        <w:spacing w:after="0" w:line="276" w:lineRule="auto"/>
        <w:rPr>
          <w:rFonts w:ascii="Times New Roman" w:hAnsi="Times New Roman" w:cs="Times New Roman"/>
        </w:rPr>
      </w:pPr>
      <w:r w:rsidRPr="007102A3">
        <w:rPr>
          <w:rFonts w:ascii="Times New Roman" w:hAnsi="Times New Roman" w:cs="Times New Roman"/>
        </w:rPr>
        <w:t>Descriptives: look at distributions and time-series with control charts to spot outliers or drift.</w:t>
      </w:r>
    </w:p>
    <w:p w14:paraId="4528FDED" w14:textId="77777777" w:rsidR="00BC3731" w:rsidRPr="007102A3" w:rsidRDefault="00BC3731" w:rsidP="007102A3">
      <w:pPr>
        <w:numPr>
          <w:ilvl w:val="0"/>
          <w:numId w:val="5"/>
        </w:numPr>
        <w:spacing w:after="0" w:line="276" w:lineRule="auto"/>
        <w:rPr>
          <w:rFonts w:ascii="Times New Roman" w:hAnsi="Times New Roman" w:cs="Times New Roman"/>
        </w:rPr>
      </w:pPr>
      <w:r w:rsidRPr="007102A3">
        <w:rPr>
          <w:rFonts w:ascii="Times New Roman" w:hAnsi="Times New Roman" w:cs="Times New Roman"/>
        </w:rPr>
        <w:t>Assumption checks: normality (for parametric models), over-dispersion (counts often need negative binomial), and multicollinearity (VIF checks so predictors aren’t redundant).</w:t>
      </w:r>
    </w:p>
    <w:p w14:paraId="50A23674" w14:textId="77777777" w:rsidR="00BC3731" w:rsidRPr="007102A3" w:rsidRDefault="00BC3731" w:rsidP="007102A3">
      <w:pPr>
        <w:numPr>
          <w:ilvl w:val="0"/>
          <w:numId w:val="5"/>
        </w:numPr>
        <w:spacing w:after="0" w:line="276" w:lineRule="auto"/>
        <w:rPr>
          <w:rFonts w:ascii="Times New Roman" w:hAnsi="Times New Roman" w:cs="Times New Roman"/>
        </w:rPr>
      </w:pPr>
      <w:r w:rsidRPr="007102A3">
        <w:rPr>
          <w:rFonts w:ascii="Times New Roman" w:hAnsi="Times New Roman" w:cs="Times New Roman"/>
        </w:rPr>
        <w:t>Inferential tests:</w:t>
      </w:r>
    </w:p>
    <w:p w14:paraId="7A0FD34F" w14:textId="77777777" w:rsidR="00BC3731" w:rsidRPr="007102A3" w:rsidRDefault="00BC3731" w:rsidP="007102A3">
      <w:pPr>
        <w:numPr>
          <w:ilvl w:val="1"/>
          <w:numId w:val="5"/>
        </w:numPr>
        <w:spacing w:after="0" w:line="276" w:lineRule="auto"/>
        <w:rPr>
          <w:rFonts w:ascii="Times New Roman" w:hAnsi="Times New Roman" w:cs="Times New Roman"/>
        </w:rPr>
      </w:pPr>
      <w:r w:rsidRPr="007102A3">
        <w:rPr>
          <w:rFonts w:ascii="Times New Roman" w:hAnsi="Times New Roman" w:cs="Times New Roman"/>
        </w:rPr>
        <w:t>Negative binomial regression for incident counts.</w:t>
      </w:r>
    </w:p>
    <w:p w14:paraId="4C2A6F5D" w14:textId="77777777" w:rsidR="00BC3731" w:rsidRPr="007102A3" w:rsidRDefault="00BC3731" w:rsidP="007102A3">
      <w:pPr>
        <w:numPr>
          <w:ilvl w:val="1"/>
          <w:numId w:val="5"/>
        </w:numPr>
        <w:spacing w:after="0" w:line="276" w:lineRule="auto"/>
        <w:rPr>
          <w:rFonts w:ascii="Times New Roman" w:hAnsi="Times New Roman" w:cs="Times New Roman"/>
        </w:rPr>
      </w:pPr>
      <w:r w:rsidRPr="007102A3">
        <w:rPr>
          <w:rFonts w:ascii="Times New Roman" w:hAnsi="Times New Roman" w:cs="Times New Roman"/>
        </w:rPr>
        <w:t>OLS with heteroskedasticity-robust standard errors for downtime/MTTR; log-transform if skewed.</w:t>
      </w:r>
    </w:p>
    <w:p w14:paraId="12FF31C2" w14:textId="77777777" w:rsidR="00BC3731" w:rsidRPr="007102A3" w:rsidRDefault="00BC3731" w:rsidP="007102A3">
      <w:pPr>
        <w:numPr>
          <w:ilvl w:val="1"/>
          <w:numId w:val="5"/>
        </w:numPr>
        <w:spacing w:after="0" w:line="276" w:lineRule="auto"/>
        <w:rPr>
          <w:rFonts w:ascii="Times New Roman" w:hAnsi="Times New Roman" w:cs="Times New Roman"/>
        </w:rPr>
      </w:pPr>
      <w:r w:rsidRPr="007102A3">
        <w:rPr>
          <w:rFonts w:ascii="Times New Roman" w:hAnsi="Times New Roman" w:cs="Times New Roman"/>
        </w:rPr>
        <w:t>Pearson/Spearman correlations depending on distribution.</w:t>
      </w:r>
    </w:p>
    <w:p w14:paraId="63249353" w14:textId="77777777" w:rsidR="00BC3731" w:rsidRPr="007102A3" w:rsidRDefault="00BC3731" w:rsidP="007102A3">
      <w:pPr>
        <w:numPr>
          <w:ilvl w:val="1"/>
          <w:numId w:val="5"/>
        </w:numPr>
        <w:spacing w:after="0" w:line="276" w:lineRule="auto"/>
        <w:rPr>
          <w:rFonts w:ascii="Times New Roman" w:hAnsi="Times New Roman" w:cs="Times New Roman"/>
        </w:rPr>
      </w:pPr>
      <w:r w:rsidRPr="007102A3">
        <w:rPr>
          <w:rFonts w:ascii="Times New Roman" w:hAnsi="Times New Roman" w:cs="Times New Roman"/>
        </w:rPr>
        <w:t>Report effect sizes with 95% confidence intervals, not just p-values.</w:t>
      </w:r>
    </w:p>
    <w:p w14:paraId="0D34CBAB" w14:textId="77777777" w:rsidR="00BC3731" w:rsidRPr="007102A3" w:rsidRDefault="00BC3731" w:rsidP="007102A3">
      <w:pPr>
        <w:numPr>
          <w:ilvl w:val="0"/>
          <w:numId w:val="5"/>
        </w:numPr>
        <w:spacing w:after="0" w:line="276" w:lineRule="auto"/>
        <w:rPr>
          <w:rFonts w:ascii="Times New Roman" w:hAnsi="Times New Roman" w:cs="Times New Roman"/>
        </w:rPr>
      </w:pPr>
      <w:r w:rsidRPr="007102A3">
        <w:rPr>
          <w:rFonts w:ascii="Times New Roman" w:hAnsi="Times New Roman" w:cs="Times New Roman"/>
        </w:rPr>
        <w:t>Sensitivity: vary thresholds—e.g., token lifetime ≤90 days vs ≤60 days—and observe changes in effects.</w:t>
      </w:r>
    </w:p>
    <w:p w14:paraId="3D7623E8"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 xml:space="preserve">Why </w:t>
      </w:r>
      <w:proofErr w:type="gramStart"/>
      <w:r w:rsidRPr="007102A3">
        <w:rPr>
          <w:rFonts w:ascii="Times New Roman" w:hAnsi="Times New Roman" w:cs="Times New Roman"/>
        </w:rPr>
        <w:t>single</w:t>
      </w:r>
      <w:proofErr w:type="gramEnd"/>
      <w:r w:rsidRPr="007102A3">
        <w:rPr>
          <w:rFonts w:ascii="Times New Roman" w:hAnsi="Times New Roman" w:cs="Times New Roman"/>
        </w:rPr>
        <w:t xml:space="preserve">-site case now? This maximizes ecological validity and data </w:t>
      </w:r>
      <w:proofErr w:type="gramStart"/>
      <w:r w:rsidRPr="007102A3">
        <w:rPr>
          <w:rFonts w:ascii="Times New Roman" w:hAnsi="Times New Roman" w:cs="Times New Roman"/>
        </w:rPr>
        <w:t>access</w:t>
      </w:r>
      <w:proofErr w:type="gramEnd"/>
      <w:r w:rsidRPr="007102A3">
        <w:rPr>
          <w:rFonts w:ascii="Times New Roman" w:hAnsi="Times New Roman" w:cs="Times New Roman"/>
        </w:rPr>
        <w:t xml:space="preserve"> so the metrics are real and instrumented. Portability comes from the measurement handbook others can reuse.</w:t>
      </w:r>
    </w:p>
    <w:p w14:paraId="784C4B60" w14:textId="77777777" w:rsidR="00BC3731" w:rsidRPr="007102A3" w:rsidRDefault="00BC3731" w:rsidP="007102A3">
      <w:pPr>
        <w:spacing w:after="0" w:line="276" w:lineRule="auto"/>
        <w:rPr>
          <w:rFonts w:ascii="Times New Roman" w:hAnsi="Times New Roman" w:cs="Times New Roman"/>
        </w:rPr>
      </w:pPr>
    </w:p>
    <w:p w14:paraId="0A4005B7" w14:textId="77777777" w:rsidR="007102A3" w:rsidRDefault="007102A3">
      <w:pPr>
        <w:rPr>
          <w:rFonts w:ascii="Times New Roman" w:hAnsi="Times New Roman" w:cs="Times New Roman"/>
          <w:b/>
          <w:bCs/>
        </w:rPr>
      </w:pPr>
      <w:r>
        <w:rPr>
          <w:rFonts w:ascii="Times New Roman" w:hAnsi="Times New Roman" w:cs="Times New Roman"/>
          <w:b/>
          <w:bCs/>
        </w:rPr>
        <w:br w:type="page"/>
      </w:r>
    </w:p>
    <w:p w14:paraId="21F4A8C0" w14:textId="27192227"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lastRenderedPageBreak/>
        <w:t xml:space="preserve">Operational Definitions </w:t>
      </w:r>
    </w:p>
    <w:p w14:paraId="41FA7F6D"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“Here are the metrics we’ll calculate and why they matter.</w:t>
      </w:r>
    </w:p>
    <w:p w14:paraId="41F762D9"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IAM:</w:t>
      </w:r>
    </w:p>
    <w:p w14:paraId="4A97E809" w14:textId="77777777" w:rsidR="00BC3731" w:rsidRPr="007102A3" w:rsidRDefault="00BC3731" w:rsidP="007102A3">
      <w:pPr>
        <w:numPr>
          <w:ilvl w:val="0"/>
          <w:numId w:val="17"/>
        </w:numPr>
        <w:spacing w:after="0" w:line="276" w:lineRule="auto"/>
        <w:rPr>
          <w:rFonts w:ascii="Times New Roman" w:hAnsi="Times New Roman" w:cs="Times New Roman"/>
        </w:rPr>
      </w:pPr>
      <w:r w:rsidRPr="007102A3">
        <w:rPr>
          <w:rFonts w:ascii="Times New Roman" w:hAnsi="Times New Roman" w:cs="Times New Roman"/>
        </w:rPr>
        <w:t xml:space="preserve">NHI ratio = </w:t>
      </w:r>
      <w:proofErr w:type="spellStart"/>
      <w:r w:rsidRPr="007102A3">
        <w:rPr>
          <w:rFonts w:ascii="Times New Roman" w:hAnsi="Times New Roman" w:cs="Times New Roman"/>
        </w:rPr>
        <w:t>non-</w:t>
      </w:r>
      <w:proofErr w:type="gramStart"/>
      <w:r w:rsidRPr="007102A3">
        <w:rPr>
          <w:rFonts w:ascii="Times New Roman" w:hAnsi="Times New Roman" w:cs="Times New Roman"/>
        </w:rPr>
        <w:t>human:human</w:t>
      </w:r>
      <w:proofErr w:type="spellEnd"/>
      <w:proofErr w:type="gramEnd"/>
      <w:r w:rsidRPr="007102A3">
        <w:rPr>
          <w:rFonts w:ascii="Times New Roman" w:hAnsi="Times New Roman" w:cs="Times New Roman"/>
        </w:rPr>
        <w:t xml:space="preserve"> identities (benchmarks ~10:1 to 80+:1 from Microsoft 2023; CyberArk 2025). Higher ratios mean more token risk.</w:t>
      </w:r>
    </w:p>
    <w:p w14:paraId="40AD8CDE" w14:textId="77777777" w:rsidR="00BC3731" w:rsidRPr="007102A3" w:rsidRDefault="00BC3731" w:rsidP="007102A3">
      <w:pPr>
        <w:numPr>
          <w:ilvl w:val="0"/>
          <w:numId w:val="17"/>
        </w:numPr>
        <w:spacing w:after="0" w:line="276" w:lineRule="auto"/>
        <w:rPr>
          <w:rFonts w:ascii="Times New Roman" w:hAnsi="Times New Roman" w:cs="Times New Roman"/>
        </w:rPr>
      </w:pPr>
      <w:r w:rsidRPr="007102A3">
        <w:rPr>
          <w:rFonts w:ascii="Times New Roman" w:hAnsi="Times New Roman" w:cs="Times New Roman"/>
        </w:rPr>
        <w:t>Privileged density = privileged identities ÷ total (bigger blast radius if compromised).</w:t>
      </w:r>
    </w:p>
    <w:p w14:paraId="5D01F431" w14:textId="77777777" w:rsidR="00BC3731" w:rsidRPr="007102A3" w:rsidRDefault="00BC3731" w:rsidP="007102A3">
      <w:pPr>
        <w:numPr>
          <w:ilvl w:val="0"/>
          <w:numId w:val="17"/>
        </w:numPr>
        <w:spacing w:after="0" w:line="276" w:lineRule="auto"/>
        <w:rPr>
          <w:rFonts w:ascii="Times New Roman" w:hAnsi="Times New Roman" w:cs="Times New Roman"/>
        </w:rPr>
      </w:pPr>
      <w:r w:rsidRPr="007102A3">
        <w:rPr>
          <w:rFonts w:ascii="Times New Roman" w:hAnsi="Times New Roman" w:cs="Times New Roman"/>
        </w:rPr>
        <w:t>Token Hygiene Index (0–5) = token lifetime, rotation cadence, reuse (short-lived, rotated, non-reused is best).</w:t>
      </w:r>
    </w:p>
    <w:p w14:paraId="2F01E9F2"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Configuration (ENISA 2023):</w:t>
      </w:r>
    </w:p>
    <w:p w14:paraId="7778C333" w14:textId="77777777" w:rsidR="00BC3731" w:rsidRPr="007102A3" w:rsidRDefault="00BC3731" w:rsidP="007102A3">
      <w:pPr>
        <w:numPr>
          <w:ilvl w:val="0"/>
          <w:numId w:val="18"/>
        </w:numPr>
        <w:spacing w:after="0" w:line="276" w:lineRule="auto"/>
        <w:rPr>
          <w:rFonts w:ascii="Times New Roman" w:hAnsi="Times New Roman" w:cs="Times New Roman"/>
        </w:rPr>
      </w:pPr>
      <w:r w:rsidRPr="007102A3">
        <w:rPr>
          <w:rFonts w:ascii="Times New Roman" w:hAnsi="Times New Roman" w:cs="Times New Roman"/>
        </w:rPr>
        <w:t xml:space="preserve">Baseline Drift Rate/month from </w:t>
      </w:r>
      <w:proofErr w:type="spellStart"/>
      <w:r w:rsidRPr="007102A3">
        <w:rPr>
          <w:rFonts w:ascii="Times New Roman" w:hAnsi="Times New Roman" w:cs="Times New Roman"/>
        </w:rPr>
        <w:t>IaC</w:t>
      </w:r>
      <w:proofErr w:type="spellEnd"/>
      <w:r w:rsidRPr="007102A3">
        <w:rPr>
          <w:rFonts w:ascii="Times New Roman" w:hAnsi="Times New Roman" w:cs="Times New Roman"/>
        </w:rPr>
        <w:t xml:space="preserve">/policy scans vs the approved baseline—higher drift = higher </w:t>
      </w:r>
      <w:proofErr w:type="spellStart"/>
      <w:r w:rsidRPr="007102A3">
        <w:rPr>
          <w:rFonts w:ascii="Times New Roman" w:hAnsi="Times New Roman" w:cs="Times New Roman"/>
        </w:rPr>
        <w:t>misconfig</w:t>
      </w:r>
      <w:proofErr w:type="spellEnd"/>
      <w:r w:rsidRPr="007102A3">
        <w:rPr>
          <w:rFonts w:ascii="Times New Roman" w:hAnsi="Times New Roman" w:cs="Times New Roman"/>
        </w:rPr>
        <w:t xml:space="preserve"> risk.</w:t>
      </w:r>
    </w:p>
    <w:p w14:paraId="6EE57702" w14:textId="77777777" w:rsidR="00BC3731" w:rsidRPr="007102A3" w:rsidRDefault="00BC3731" w:rsidP="007102A3">
      <w:pPr>
        <w:numPr>
          <w:ilvl w:val="0"/>
          <w:numId w:val="18"/>
        </w:numPr>
        <w:spacing w:after="0" w:line="276" w:lineRule="auto"/>
        <w:rPr>
          <w:rFonts w:ascii="Times New Roman" w:hAnsi="Times New Roman" w:cs="Times New Roman"/>
        </w:rPr>
      </w:pPr>
      <w:r w:rsidRPr="007102A3">
        <w:rPr>
          <w:rFonts w:ascii="Times New Roman" w:hAnsi="Times New Roman" w:cs="Times New Roman"/>
        </w:rPr>
        <w:t xml:space="preserve">Critical </w:t>
      </w:r>
      <w:proofErr w:type="spellStart"/>
      <w:r w:rsidRPr="007102A3">
        <w:rPr>
          <w:rFonts w:ascii="Times New Roman" w:hAnsi="Times New Roman" w:cs="Times New Roman"/>
        </w:rPr>
        <w:t>misconfigs</w:t>
      </w:r>
      <w:proofErr w:type="spellEnd"/>
      <w:r w:rsidRPr="007102A3">
        <w:rPr>
          <w:rFonts w:ascii="Times New Roman" w:hAnsi="Times New Roman" w:cs="Times New Roman"/>
        </w:rPr>
        <w:t xml:space="preserve"> &gt;20 days (count) = remediation performance.</w:t>
      </w:r>
    </w:p>
    <w:p w14:paraId="74136EC0"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 xml:space="preserve">API/Integration (OWASP API </w:t>
      </w:r>
      <w:proofErr w:type="gramStart"/>
      <w:r w:rsidRPr="007102A3">
        <w:rPr>
          <w:rFonts w:ascii="Times New Roman" w:hAnsi="Times New Roman" w:cs="Times New Roman"/>
        </w:rPr>
        <w:t>Top-10</w:t>
      </w:r>
      <w:proofErr w:type="gramEnd"/>
      <w:r w:rsidRPr="007102A3">
        <w:rPr>
          <w:rFonts w:ascii="Times New Roman" w:hAnsi="Times New Roman" w:cs="Times New Roman"/>
        </w:rPr>
        <w:t xml:space="preserve"> 2023):</w:t>
      </w:r>
    </w:p>
    <w:p w14:paraId="288CB2AA" w14:textId="77777777" w:rsidR="00BC3731" w:rsidRPr="007102A3" w:rsidRDefault="00BC3731" w:rsidP="007102A3">
      <w:pPr>
        <w:numPr>
          <w:ilvl w:val="0"/>
          <w:numId w:val="19"/>
        </w:numPr>
        <w:spacing w:after="0" w:line="276" w:lineRule="auto"/>
        <w:rPr>
          <w:rFonts w:ascii="Times New Roman" w:hAnsi="Times New Roman" w:cs="Times New Roman"/>
        </w:rPr>
      </w:pPr>
      <w:r w:rsidRPr="007102A3">
        <w:rPr>
          <w:rFonts w:ascii="Times New Roman" w:hAnsi="Times New Roman" w:cs="Times New Roman"/>
        </w:rPr>
        <w:t xml:space="preserve">Auth failure rate = 401/403 ÷ total calls; tracks </w:t>
      </w:r>
      <w:proofErr w:type="spellStart"/>
      <w:r w:rsidRPr="007102A3">
        <w:rPr>
          <w:rFonts w:ascii="Times New Roman" w:hAnsi="Times New Roman" w:cs="Times New Roman"/>
        </w:rPr>
        <w:t>authz</w:t>
      </w:r>
      <w:proofErr w:type="spellEnd"/>
      <w:r w:rsidRPr="007102A3">
        <w:rPr>
          <w:rFonts w:ascii="Times New Roman" w:hAnsi="Times New Roman" w:cs="Times New Roman"/>
        </w:rPr>
        <w:t xml:space="preserve"> weaknesses like BOLA/OPLA.</w:t>
      </w:r>
    </w:p>
    <w:p w14:paraId="38AEE16D" w14:textId="77777777" w:rsidR="00BC3731" w:rsidRPr="007102A3" w:rsidRDefault="00BC3731" w:rsidP="007102A3">
      <w:pPr>
        <w:numPr>
          <w:ilvl w:val="0"/>
          <w:numId w:val="19"/>
        </w:numPr>
        <w:spacing w:after="0" w:line="276" w:lineRule="auto"/>
        <w:rPr>
          <w:rFonts w:ascii="Times New Roman" w:hAnsi="Times New Roman" w:cs="Times New Roman"/>
        </w:rPr>
      </w:pPr>
      <w:r w:rsidRPr="007102A3">
        <w:rPr>
          <w:rFonts w:ascii="Times New Roman" w:hAnsi="Times New Roman" w:cs="Times New Roman"/>
        </w:rPr>
        <w:t xml:space="preserve">3rd-party trust score (0–5) = </w:t>
      </w:r>
      <w:proofErr w:type="spellStart"/>
      <w:r w:rsidRPr="007102A3">
        <w:rPr>
          <w:rFonts w:ascii="Times New Roman" w:hAnsi="Times New Roman" w:cs="Times New Roman"/>
        </w:rPr>
        <w:t>mTLS</w:t>
      </w:r>
      <w:proofErr w:type="spellEnd"/>
      <w:r w:rsidRPr="007102A3">
        <w:rPr>
          <w:rFonts w:ascii="Times New Roman" w:hAnsi="Times New Roman" w:cs="Times New Roman"/>
        </w:rPr>
        <w:t>, scoped tokens, IP allowlists, recent pen-test.</w:t>
      </w:r>
    </w:p>
    <w:p w14:paraId="280AD8E2"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Resilience (Sophos State of Ransomware 2025):</w:t>
      </w:r>
    </w:p>
    <w:p w14:paraId="432F181D" w14:textId="77777777" w:rsidR="00BC3731" w:rsidRPr="007102A3" w:rsidRDefault="00BC3731" w:rsidP="007102A3">
      <w:pPr>
        <w:numPr>
          <w:ilvl w:val="0"/>
          <w:numId w:val="20"/>
        </w:numPr>
        <w:spacing w:after="0" w:line="276" w:lineRule="auto"/>
        <w:rPr>
          <w:rFonts w:ascii="Times New Roman" w:hAnsi="Times New Roman" w:cs="Times New Roman"/>
        </w:rPr>
      </w:pPr>
      <w:r w:rsidRPr="007102A3">
        <w:rPr>
          <w:rFonts w:ascii="Times New Roman" w:hAnsi="Times New Roman" w:cs="Times New Roman"/>
        </w:rPr>
        <w:t>Backup Integrity Rate = verified restores ÷ attempts.</w:t>
      </w:r>
    </w:p>
    <w:p w14:paraId="00BCEB5A" w14:textId="77777777" w:rsidR="00BC3731" w:rsidRPr="007102A3" w:rsidRDefault="00BC3731" w:rsidP="007102A3">
      <w:pPr>
        <w:numPr>
          <w:ilvl w:val="0"/>
          <w:numId w:val="20"/>
        </w:numPr>
        <w:spacing w:after="0" w:line="276" w:lineRule="auto"/>
        <w:rPr>
          <w:rFonts w:ascii="Times New Roman" w:hAnsi="Times New Roman" w:cs="Times New Roman"/>
        </w:rPr>
      </w:pPr>
      <w:r w:rsidRPr="007102A3">
        <w:rPr>
          <w:rFonts w:ascii="Times New Roman" w:hAnsi="Times New Roman" w:cs="Times New Roman"/>
        </w:rPr>
        <w:t>MTTD/MTTR in hours, plus cloud-attributed downtime minutes/quarter.</w:t>
      </w:r>
    </w:p>
    <w:p w14:paraId="6A9D94DD"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Concentration (DOJ/FTC HHI):</w:t>
      </w:r>
    </w:p>
    <w:p w14:paraId="3A64D2D4" w14:textId="77777777" w:rsidR="00BC3731" w:rsidRPr="007102A3" w:rsidRDefault="00BC3731" w:rsidP="007102A3">
      <w:pPr>
        <w:numPr>
          <w:ilvl w:val="0"/>
          <w:numId w:val="21"/>
        </w:numPr>
        <w:spacing w:after="0" w:line="276" w:lineRule="auto"/>
        <w:rPr>
          <w:rFonts w:ascii="Times New Roman" w:hAnsi="Times New Roman" w:cs="Times New Roman"/>
        </w:rPr>
      </w:pPr>
      <w:r w:rsidRPr="007102A3">
        <w:rPr>
          <w:rFonts w:ascii="Times New Roman" w:hAnsi="Times New Roman" w:cs="Times New Roman"/>
        </w:rPr>
        <w:t>HHI (Herfindahl–Hirschman Index) (0–10,000) from provider market shares; interpret with Merger Guidelines bands. Current Q2-2025 shares still show AWS dominant → consider multi-region/vendor to reduce systemic vendor risk.”</w:t>
      </w:r>
    </w:p>
    <w:p w14:paraId="48F8ED93" w14:textId="77777777" w:rsidR="00BC3731" w:rsidRPr="007102A3" w:rsidRDefault="00BC3731" w:rsidP="007102A3">
      <w:pPr>
        <w:spacing w:after="0" w:line="276" w:lineRule="auto"/>
        <w:rPr>
          <w:rFonts w:ascii="Times New Roman" w:hAnsi="Times New Roman" w:cs="Times New Roman"/>
        </w:rPr>
      </w:pPr>
    </w:p>
    <w:p w14:paraId="10BF0316" w14:textId="55280543"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 xml:space="preserve">Hypotheses </w:t>
      </w:r>
    </w:p>
    <w:p w14:paraId="0AE61EF0"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“Here are the testable hypotheses that drive the analysis. I’ll name the sources as I go.</w:t>
      </w:r>
    </w:p>
    <w:p w14:paraId="393D9CA7"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H1 – IAM hygiene → fewer incidents/downtime.</w:t>
      </w:r>
      <w:r w:rsidRPr="007102A3">
        <w:rPr>
          <w:rFonts w:ascii="Times New Roman" w:hAnsi="Times New Roman" w:cs="Times New Roman"/>
        </w:rPr>
        <w:br/>
        <w:t xml:space="preserve">If the Token Hygiene Index goes up and privileged-identity density goes </w:t>
      </w:r>
      <w:proofErr w:type="gramStart"/>
      <w:r w:rsidRPr="007102A3">
        <w:rPr>
          <w:rFonts w:ascii="Times New Roman" w:hAnsi="Times New Roman" w:cs="Times New Roman"/>
        </w:rPr>
        <w:t>down,</w:t>
      </w:r>
      <w:proofErr w:type="gramEnd"/>
      <w:r w:rsidRPr="007102A3">
        <w:rPr>
          <w:rFonts w:ascii="Times New Roman" w:hAnsi="Times New Roman" w:cs="Times New Roman"/>
        </w:rPr>
        <w:t xml:space="preserve"> we expect fewer incidents and less downtime. Rationale: machine-identity sprawl increases exposure (sources: CyberArk, 2025; </w:t>
      </w:r>
      <w:proofErr w:type="gramStart"/>
      <w:r w:rsidRPr="007102A3">
        <w:rPr>
          <w:rFonts w:ascii="Times New Roman" w:hAnsi="Times New Roman" w:cs="Times New Roman"/>
        </w:rPr>
        <w:t>also</w:t>
      </w:r>
      <w:proofErr w:type="gramEnd"/>
      <w:r w:rsidRPr="007102A3">
        <w:rPr>
          <w:rFonts w:ascii="Times New Roman" w:hAnsi="Times New Roman" w:cs="Times New Roman"/>
        </w:rPr>
        <w:t xml:space="preserve"> Microsoft, 2023).</w:t>
      </w:r>
    </w:p>
    <w:p w14:paraId="0BAF86BE"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 xml:space="preserve">H2 – More </w:t>
      </w:r>
      <w:proofErr w:type="spellStart"/>
      <w:r w:rsidRPr="007102A3">
        <w:rPr>
          <w:rFonts w:ascii="Times New Roman" w:hAnsi="Times New Roman" w:cs="Times New Roman"/>
        </w:rPr>
        <w:t>IaC</w:t>
      </w:r>
      <w:proofErr w:type="spellEnd"/>
      <w:r w:rsidRPr="007102A3">
        <w:rPr>
          <w:rFonts w:ascii="Times New Roman" w:hAnsi="Times New Roman" w:cs="Times New Roman"/>
        </w:rPr>
        <w:t xml:space="preserve">, less drift → fewer </w:t>
      </w:r>
      <w:proofErr w:type="spellStart"/>
      <w:r w:rsidRPr="007102A3">
        <w:rPr>
          <w:rFonts w:ascii="Times New Roman" w:hAnsi="Times New Roman" w:cs="Times New Roman"/>
        </w:rPr>
        <w:t>misconfigs</w:t>
      </w:r>
      <w:proofErr w:type="spellEnd"/>
      <w:r w:rsidRPr="007102A3">
        <w:rPr>
          <w:rFonts w:ascii="Times New Roman" w:hAnsi="Times New Roman" w:cs="Times New Roman"/>
        </w:rPr>
        <w:t>.</w:t>
      </w:r>
      <w:r w:rsidRPr="007102A3">
        <w:rPr>
          <w:rFonts w:ascii="Times New Roman" w:hAnsi="Times New Roman" w:cs="Times New Roman"/>
        </w:rPr>
        <w:br/>
        <w:t xml:space="preserve">Higher </w:t>
      </w:r>
      <w:proofErr w:type="spellStart"/>
      <w:r w:rsidRPr="007102A3">
        <w:rPr>
          <w:rFonts w:ascii="Times New Roman" w:hAnsi="Times New Roman" w:cs="Times New Roman"/>
        </w:rPr>
        <w:t>IaC</w:t>
      </w:r>
      <w:proofErr w:type="spellEnd"/>
      <w:r w:rsidRPr="007102A3">
        <w:rPr>
          <w:rFonts w:ascii="Times New Roman" w:hAnsi="Times New Roman" w:cs="Times New Roman"/>
        </w:rPr>
        <w:t xml:space="preserve"> coverage and lower Baseline Drift Rate should reduce misconfiguration incidents, consistent with ENISA Threat Landscape 2023.</w:t>
      </w:r>
    </w:p>
    <w:p w14:paraId="67D0D2DB"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H3 – Stronger API trust → fewer auth failures &amp; less downtime.</w:t>
      </w:r>
      <w:r w:rsidRPr="007102A3">
        <w:rPr>
          <w:rFonts w:ascii="Times New Roman" w:hAnsi="Times New Roman" w:cs="Times New Roman"/>
        </w:rPr>
        <w:br/>
        <w:t xml:space="preserve">With </w:t>
      </w:r>
      <w:proofErr w:type="spellStart"/>
      <w:r w:rsidRPr="007102A3">
        <w:rPr>
          <w:rFonts w:ascii="Times New Roman" w:hAnsi="Times New Roman" w:cs="Times New Roman"/>
        </w:rPr>
        <w:t>mTLS</w:t>
      </w:r>
      <w:proofErr w:type="spellEnd"/>
      <w:r w:rsidRPr="007102A3">
        <w:rPr>
          <w:rFonts w:ascii="Times New Roman" w:hAnsi="Times New Roman" w:cs="Times New Roman"/>
        </w:rPr>
        <w:t xml:space="preserve"> between services, scoped tokens, IP allowlists, and recent pen-test evidence, we expect lower 401/403 rates and less outage time (source: OWASP API Security </w:t>
      </w:r>
      <w:proofErr w:type="gramStart"/>
      <w:r w:rsidRPr="007102A3">
        <w:rPr>
          <w:rFonts w:ascii="Times New Roman" w:hAnsi="Times New Roman" w:cs="Times New Roman"/>
        </w:rPr>
        <w:t>Top-10</w:t>
      </w:r>
      <w:proofErr w:type="gramEnd"/>
      <w:r w:rsidRPr="007102A3">
        <w:rPr>
          <w:rFonts w:ascii="Times New Roman" w:hAnsi="Times New Roman" w:cs="Times New Roman"/>
        </w:rPr>
        <w:t>, 2023).</w:t>
      </w:r>
    </w:p>
    <w:p w14:paraId="5135FF5D"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H4 – Backup integrity → faster recovery &amp; lower loss.</w:t>
      </w:r>
      <w:r w:rsidRPr="007102A3">
        <w:rPr>
          <w:rFonts w:ascii="Times New Roman" w:hAnsi="Times New Roman" w:cs="Times New Roman"/>
        </w:rPr>
        <w:br/>
        <w:t>A higher Backup Integrity Rate (verified restores/attempts) should reduce MTTR and expected annual loss (benchmark: Sophos – State of Ransomware 2025).</w:t>
      </w:r>
    </w:p>
    <w:p w14:paraId="1F926A87"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H5 – Higher concentration (HHI) → more correlated outage risk.</w:t>
      </w:r>
      <w:r w:rsidRPr="007102A3">
        <w:rPr>
          <w:rFonts w:ascii="Times New Roman" w:hAnsi="Times New Roman" w:cs="Times New Roman"/>
        </w:rPr>
        <w:br/>
        <w:t>As HHI (Herfindahl–Hirschman Index) rises (market more concentrated), exposure to provider-wide disruptions increases; governance response is multi-region/multi-vendor (sources: DOJ/FTC Merger Guidelines; Q2-2025 cloud shares from industry trackers).”</w:t>
      </w:r>
    </w:p>
    <w:p w14:paraId="4F0D8B6B" w14:textId="77777777" w:rsidR="00BC3731" w:rsidRPr="007102A3" w:rsidRDefault="00BC3731" w:rsidP="007102A3">
      <w:pPr>
        <w:spacing w:after="0" w:line="276" w:lineRule="auto"/>
        <w:rPr>
          <w:rFonts w:ascii="Times New Roman" w:hAnsi="Times New Roman" w:cs="Times New Roman"/>
        </w:rPr>
      </w:pPr>
    </w:p>
    <w:p w14:paraId="55AA618F" w14:textId="7B5EB5A0"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Ethical Considerations &amp; Risk Assessment</w:t>
      </w:r>
    </w:p>
    <w:p w14:paraId="046D950D" w14:textId="77777777" w:rsidR="00BC3731" w:rsidRPr="007102A3" w:rsidRDefault="00BC3731" w:rsidP="007102A3">
      <w:pPr>
        <w:numPr>
          <w:ilvl w:val="0"/>
          <w:numId w:val="6"/>
        </w:numPr>
        <w:spacing w:after="0" w:line="276" w:lineRule="auto"/>
        <w:rPr>
          <w:rFonts w:ascii="Times New Roman" w:hAnsi="Times New Roman" w:cs="Times New Roman"/>
        </w:rPr>
      </w:pPr>
      <w:r w:rsidRPr="007102A3">
        <w:rPr>
          <w:rFonts w:ascii="Times New Roman" w:hAnsi="Times New Roman" w:cs="Times New Roman"/>
        </w:rPr>
        <w:t>Purpose-limited, minimal data: only telemetry needed for this research; no unnecessary personal data.</w:t>
      </w:r>
    </w:p>
    <w:p w14:paraId="7AFBCEFD" w14:textId="77777777" w:rsidR="00BC3731" w:rsidRPr="007102A3" w:rsidRDefault="00BC3731" w:rsidP="007102A3">
      <w:pPr>
        <w:numPr>
          <w:ilvl w:val="0"/>
          <w:numId w:val="6"/>
        </w:numPr>
        <w:spacing w:after="0" w:line="276" w:lineRule="auto"/>
        <w:rPr>
          <w:rFonts w:ascii="Times New Roman" w:hAnsi="Times New Roman" w:cs="Times New Roman"/>
        </w:rPr>
      </w:pPr>
      <w:r w:rsidRPr="007102A3">
        <w:rPr>
          <w:rFonts w:ascii="Times New Roman" w:hAnsi="Times New Roman" w:cs="Times New Roman"/>
        </w:rPr>
        <w:t>Security &amp; confidentiality: pseudonymization, encryption at rest/in transit, role-based access, audit trails.</w:t>
      </w:r>
    </w:p>
    <w:p w14:paraId="2940B3C0" w14:textId="77777777" w:rsidR="00BC3731" w:rsidRPr="007102A3" w:rsidRDefault="00BC3731" w:rsidP="007102A3">
      <w:pPr>
        <w:numPr>
          <w:ilvl w:val="0"/>
          <w:numId w:val="6"/>
        </w:numPr>
        <w:spacing w:after="0" w:line="276" w:lineRule="auto"/>
        <w:rPr>
          <w:rFonts w:ascii="Times New Roman" w:hAnsi="Times New Roman" w:cs="Times New Roman"/>
        </w:rPr>
      </w:pPr>
      <w:r w:rsidRPr="007102A3">
        <w:rPr>
          <w:rFonts w:ascii="Times New Roman" w:hAnsi="Times New Roman" w:cs="Times New Roman"/>
        </w:rPr>
        <w:t>Organizational risk: findings presented in aggregate, improvement-oriented, and no “vendor shaming.”</w:t>
      </w:r>
    </w:p>
    <w:p w14:paraId="323C9FB2" w14:textId="77777777" w:rsidR="00BC3731" w:rsidRPr="007102A3" w:rsidRDefault="00BC3731" w:rsidP="007102A3">
      <w:pPr>
        <w:numPr>
          <w:ilvl w:val="0"/>
          <w:numId w:val="6"/>
        </w:numPr>
        <w:spacing w:after="0" w:line="276" w:lineRule="auto"/>
        <w:rPr>
          <w:rFonts w:ascii="Times New Roman" w:hAnsi="Times New Roman" w:cs="Times New Roman"/>
        </w:rPr>
      </w:pPr>
      <w:r w:rsidRPr="007102A3">
        <w:rPr>
          <w:rFonts w:ascii="Times New Roman" w:hAnsi="Times New Roman" w:cs="Times New Roman"/>
        </w:rPr>
        <w:t>Human participants: PIS/consent for interviews; right to withdraw.</w:t>
      </w:r>
    </w:p>
    <w:p w14:paraId="5AC74C6D" w14:textId="77777777" w:rsidR="00BC3731" w:rsidRPr="007102A3" w:rsidRDefault="00BC3731" w:rsidP="007102A3">
      <w:pPr>
        <w:numPr>
          <w:ilvl w:val="0"/>
          <w:numId w:val="6"/>
        </w:numPr>
        <w:spacing w:after="0" w:line="276" w:lineRule="auto"/>
        <w:rPr>
          <w:rFonts w:ascii="Times New Roman" w:hAnsi="Times New Roman" w:cs="Times New Roman"/>
        </w:rPr>
      </w:pPr>
      <w:r w:rsidRPr="007102A3">
        <w:rPr>
          <w:rFonts w:ascii="Times New Roman" w:hAnsi="Times New Roman" w:cs="Times New Roman"/>
        </w:rPr>
        <w:t>JDPA alignment: map metrics and controls to JDPA duties; remember the 72-hour report to the Information Commissioner where applicable (OIC Jamaica guidance).</w:t>
      </w:r>
    </w:p>
    <w:p w14:paraId="2ACBC67E" w14:textId="77777777" w:rsidR="00BC3731" w:rsidRPr="007102A3" w:rsidRDefault="00BC3731" w:rsidP="007102A3">
      <w:pPr>
        <w:numPr>
          <w:ilvl w:val="0"/>
          <w:numId w:val="6"/>
        </w:numPr>
        <w:spacing w:after="0" w:line="276" w:lineRule="auto"/>
        <w:rPr>
          <w:rFonts w:ascii="Times New Roman" w:hAnsi="Times New Roman" w:cs="Times New Roman"/>
        </w:rPr>
      </w:pPr>
      <w:r w:rsidRPr="007102A3">
        <w:rPr>
          <w:rFonts w:ascii="Times New Roman" w:hAnsi="Times New Roman" w:cs="Times New Roman"/>
        </w:rPr>
        <w:t>Sector guidance: align with IMO and BIMCO cyber guidance.</w:t>
      </w:r>
    </w:p>
    <w:p w14:paraId="6F71AB06" w14:textId="7B6AB69B"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lastRenderedPageBreak/>
        <w:t>Description of Artefacts</w:t>
      </w:r>
    </w:p>
    <w:p w14:paraId="76BB0767"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1) Cloud Risk Dashboard (prototype).</w:t>
      </w:r>
    </w:p>
    <w:p w14:paraId="0017EEF0" w14:textId="77777777" w:rsidR="00BC3731" w:rsidRPr="007102A3" w:rsidRDefault="00BC3731" w:rsidP="007102A3">
      <w:pPr>
        <w:numPr>
          <w:ilvl w:val="0"/>
          <w:numId w:val="7"/>
        </w:numPr>
        <w:spacing w:after="0" w:line="276" w:lineRule="auto"/>
        <w:rPr>
          <w:rFonts w:ascii="Times New Roman" w:hAnsi="Times New Roman" w:cs="Times New Roman"/>
        </w:rPr>
      </w:pPr>
      <w:r w:rsidRPr="007102A3">
        <w:rPr>
          <w:rFonts w:ascii="Times New Roman" w:hAnsi="Times New Roman" w:cs="Times New Roman"/>
        </w:rPr>
        <w:t>Overall CRI 0–5, plus family scores for IAM, Configuration, API, Resilience, and Concentration.</w:t>
      </w:r>
    </w:p>
    <w:p w14:paraId="31360BAF" w14:textId="77777777" w:rsidR="00BC3731" w:rsidRPr="007102A3" w:rsidRDefault="00BC3731" w:rsidP="007102A3">
      <w:pPr>
        <w:numPr>
          <w:ilvl w:val="0"/>
          <w:numId w:val="7"/>
        </w:numPr>
        <w:spacing w:after="0" w:line="276" w:lineRule="auto"/>
        <w:rPr>
          <w:rFonts w:ascii="Times New Roman" w:hAnsi="Times New Roman" w:cs="Times New Roman"/>
        </w:rPr>
      </w:pPr>
      <w:r w:rsidRPr="007102A3">
        <w:rPr>
          <w:rFonts w:ascii="Times New Roman" w:hAnsi="Times New Roman" w:cs="Times New Roman"/>
        </w:rPr>
        <w:t>Drill-downs show underlying indicators and a “what-if” panel—e.g., “reduce token lifetime to 60 days—how does CRI change?”</w:t>
      </w:r>
    </w:p>
    <w:p w14:paraId="016B0FA5" w14:textId="77777777" w:rsidR="00BC3731" w:rsidRPr="007102A3" w:rsidRDefault="00BC3731" w:rsidP="007102A3">
      <w:pPr>
        <w:numPr>
          <w:ilvl w:val="0"/>
          <w:numId w:val="7"/>
        </w:numPr>
        <w:spacing w:after="0" w:line="276" w:lineRule="auto"/>
        <w:rPr>
          <w:rFonts w:ascii="Times New Roman" w:hAnsi="Times New Roman" w:cs="Times New Roman"/>
        </w:rPr>
      </w:pPr>
      <w:r w:rsidRPr="007102A3">
        <w:rPr>
          <w:rFonts w:ascii="Times New Roman" w:hAnsi="Times New Roman" w:cs="Times New Roman"/>
        </w:rPr>
        <w:t>Traceability: each metric links to ISO/IEC 27017 and CSA CCM v4 controls and to JDPA evidence items.</w:t>
      </w:r>
    </w:p>
    <w:p w14:paraId="0343F09B"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2) Measurement Handbook.</w:t>
      </w:r>
    </w:p>
    <w:p w14:paraId="60721E9C" w14:textId="77777777" w:rsidR="00BC3731" w:rsidRPr="007102A3" w:rsidRDefault="00BC3731" w:rsidP="007102A3">
      <w:pPr>
        <w:numPr>
          <w:ilvl w:val="0"/>
          <w:numId w:val="8"/>
        </w:numPr>
        <w:spacing w:after="0" w:line="276" w:lineRule="auto"/>
        <w:rPr>
          <w:rFonts w:ascii="Times New Roman" w:hAnsi="Times New Roman" w:cs="Times New Roman"/>
        </w:rPr>
      </w:pPr>
      <w:r w:rsidRPr="007102A3">
        <w:rPr>
          <w:rFonts w:ascii="Times New Roman" w:hAnsi="Times New Roman" w:cs="Times New Roman"/>
        </w:rPr>
        <w:t>Definitions, formulas, thresholds, data queries; version-controlled to support audit and replication.</w:t>
      </w:r>
    </w:p>
    <w:p w14:paraId="150D23C5"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3) DPIA &amp; Control Mapping Pack.</w:t>
      </w:r>
    </w:p>
    <w:p w14:paraId="342206AC" w14:textId="77777777" w:rsidR="00BC3731" w:rsidRPr="007102A3" w:rsidRDefault="00BC3731" w:rsidP="007102A3">
      <w:pPr>
        <w:numPr>
          <w:ilvl w:val="0"/>
          <w:numId w:val="9"/>
        </w:numPr>
        <w:spacing w:after="0" w:line="276" w:lineRule="auto"/>
        <w:rPr>
          <w:rFonts w:ascii="Times New Roman" w:hAnsi="Times New Roman" w:cs="Times New Roman"/>
        </w:rPr>
      </w:pPr>
      <w:proofErr w:type="gramStart"/>
      <w:r w:rsidRPr="007102A3">
        <w:rPr>
          <w:rFonts w:ascii="Times New Roman" w:hAnsi="Times New Roman" w:cs="Times New Roman"/>
        </w:rPr>
        <w:t>Cross-walk</w:t>
      </w:r>
      <w:proofErr w:type="gramEnd"/>
      <w:r w:rsidRPr="007102A3">
        <w:rPr>
          <w:rFonts w:ascii="Times New Roman" w:hAnsi="Times New Roman" w:cs="Times New Roman"/>
        </w:rPr>
        <w:t xml:space="preserve"> from each measure to JDPA principles and cloud control families.</w:t>
      </w:r>
    </w:p>
    <w:p w14:paraId="1866C09D"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4) Technical Appendix.</w:t>
      </w:r>
    </w:p>
    <w:p w14:paraId="38F80F7E" w14:textId="77777777" w:rsidR="00BC3731" w:rsidRPr="007102A3" w:rsidRDefault="00BC3731" w:rsidP="007102A3">
      <w:pPr>
        <w:numPr>
          <w:ilvl w:val="0"/>
          <w:numId w:val="10"/>
        </w:numPr>
        <w:spacing w:after="0" w:line="276" w:lineRule="auto"/>
        <w:rPr>
          <w:rFonts w:ascii="Times New Roman" w:hAnsi="Times New Roman" w:cs="Times New Roman"/>
        </w:rPr>
      </w:pPr>
      <w:r w:rsidRPr="007102A3">
        <w:rPr>
          <w:rFonts w:ascii="Times New Roman" w:hAnsi="Times New Roman" w:cs="Times New Roman"/>
        </w:rPr>
        <w:t>Model specs, assumption checks, robustness tests, sensitivity results.</w:t>
      </w:r>
    </w:p>
    <w:p w14:paraId="1F77210E" w14:textId="77777777" w:rsidR="00BC3731" w:rsidRPr="007102A3" w:rsidRDefault="00BC3731" w:rsidP="007102A3">
      <w:pPr>
        <w:spacing w:after="0" w:line="276" w:lineRule="auto"/>
        <w:rPr>
          <w:rFonts w:ascii="Times New Roman" w:hAnsi="Times New Roman" w:cs="Times New Roman"/>
        </w:rPr>
      </w:pPr>
    </w:p>
    <w:p w14:paraId="383BC61E" w14:textId="47EC3F56"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 xml:space="preserve">Quant Examples </w:t>
      </w:r>
    </w:p>
    <w:p w14:paraId="682C30EE"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A) Concentration (HHI → decision).</w:t>
      </w:r>
      <w:r w:rsidRPr="007102A3">
        <w:rPr>
          <w:rFonts w:ascii="Times New Roman" w:hAnsi="Times New Roman" w:cs="Times New Roman"/>
        </w:rPr>
        <w:br/>
        <w:t>“First, HHI—the Herfindahl–Hirschman Index—sums the squared market shares. Using Q2-2025 public cloud shares—AWS 30%, Azure 20%, Google 13%, Alibaba 4%, Oracle 3%, others remainder—</w:t>
      </w:r>
      <w:proofErr w:type="spellStart"/>
      <w:r w:rsidRPr="007102A3">
        <w:rPr>
          <w:rFonts w:ascii="Times New Roman" w:hAnsi="Times New Roman" w:cs="Times New Roman"/>
        </w:rPr>
        <w:t>HHI_min</w:t>
      </w:r>
      <w:proofErr w:type="spellEnd"/>
      <w:r w:rsidRPr="007102A3">
        <w:rPr>
          <w:rFonts w:ascii="Times New Roman" w:hAnsi="Times New Roman" w:cs="Times New Roman"/>
        </w:rPr>
        <w:t xml:space="preserve"> ≈ 1,506 if we only sum named firms, and </w:t>
      </w:r>
      <w:proofErr w:type="spellStart"/>
      <w:r w:rsidRPr="007102A3">
        <w:rPr>
          <w:rFonts w:ascii="Times New Roman" w:hAnsi="Times New Roman" w:cs="Times New Roman"/>
        </w:rPr>
        <w:t>HHI_max</w:t>
      </w:r>
      <w:proofErr w:type="spellEnd"/>
      <w:r w:rsidRPr="007102A3">
        <w:rPr>
          <w:rFonts w:ascii="Times New Roman" w:hAnsi="Times New Roman" w:cs="Times New Roman"/>
        </w:rPr>
        <w:t xml:space="preserve"> ≈ 2,082 if ‘Others’ behaved like a single firm. That’s moderate to edging-high concentration under the U.S. Merger Guidelines (Synergy/CRN; DOJ/FTC). Decision: if KFTL’s critical services ride one </w:t>
      </w:r>
      <w:proofErr w:type="spellStart"/>
      <w:r w:rsidRPr="007102A3">
        <w:rPr>
          <w:rFonts w:ascii="Times New Roman" w:hAnsi="Times New Roman" w:cs="Times New Roman"/>
        </w:rPr>
        <w:t>hyperscaler</w:t>
      </w:r>
      <w:proofErr w:type="spellEnd"/>
      <w:r w:rsidRPr="007102A3">
        <w:rPr>
          <w:rFonts w:ascii="Times New Roman" w:hAnsi="Times New Roman" w:cs="Times New Roman"/>
        </w:rPr>
        <w:t>/region, prioritize multi-region and selective multi-vendor for resilience.”</w:t>
      </w:r>
    </w:p>
    <w:p w14:paraId="025E17F8"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B) Ransomware Expected Annual Loss (EAL).</w:t>
      </w:r>
      <w:r w:rsidRPr="007102A3">
        <w:rPr>
          <w:rFonts w:ascii="Times New Roman" w:hAnsi="Times New Roman" w:cs="Times New Roman"/>
        </w:rPr>
        <w:br/>
        <w:t>“Second, EAL = p × cost. Using **Sophos 2025’s median recovery cost ≈ $1.53M, if annual incident probability p is 0.30, EAL ≈ $459k; if p is 0.60, EAL ≈ $918k. Decision: compare this EAL to the annual cost of backup immutability, routine restore drills, and workload MFA/rotation, and fund controls where EAL justifies the spend.”</w:t>
      </w:r>
    </w:p>
    <w:p w14:paraId="6ECA4215"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C) Identity exposure (IAM hygiene → decision).</w:t>
      </w:r>
      <w:r w:rsidRPr="007102A3">
        <w:rPr>
          <w:rFonts w:ascii="Times New Roman" w:hAnsi="Times New Roman" w:cs="Times New Roman"/>
        </w:rPr>
        <w:br/>
        <w:t xml:space="preserve">“Third, suppose NHI = 40:1 and Token Hygiene Index = 3.6/5. Benchmarks are roughly 10:1 (Microsoft 2023) to ~80+:1 (CyberArk 2025), so KFTL sits mid-range but with improvement headroom. Decision: move to short-lived credentials, automatic key/token rotation, and scoped permissions—then re-measure NHI/THI and test if incidents and downtime statistically drop in the model. (Note: OWASP API </w:t>
      </w:r>
      <w:proofErr w:type="gramStart"/>
      <w:r w:rsidRPr="007102A3">
        <w:rPr>
          <w:rFonts w:ascii="Times New Roman" w:hAnsi="Times New Roman" w:cs="Times New Roman"/>
        </w:rPr>
        <w:t>Top-10</w:t>
      </w:r>
      <w:proofErr w:type="gramEnd"/>
      <w:r w:rsidRPr="007102A3">
        <w:rPr>
          <w:rFonts w:ascii="Times New Roman" w:hAnsi="Times New Roman" w:cs="Times New Roman"/>
        </w:rPr>
        <w:t xml:space="preserve"> 2023 informs our API trust metrics; Microsoft/CyberArk are the right benchmarks for identity exposure.)”</w:t>
      </w:r>
    </w:p>
    <w:p w14:paraId="60561A4A" w14:textId="77777777" w:rsidR="00BC3731" w:rsidRPr="007102A3" w:rsidRDefault="00BC3731" w:rsidP="007102A3">
      <w:pPr>
        <w:spacing w:after="0" w:line="276" w:lineRule="auto"/>
        <w:rPr>
          <w:rFonts w:ascii="Times New Roman" w:hAnsi="Times New Roman" w:cs="Times New Roman"/>
        </w:rPr>
      </w:pPr>
    </w:p>
    <w:p w14:paraId="623B609F" w14:textId="4D4696CA"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Timeline of Proposed Activities</w:t>
      </w:r>
    </w:p>
    <w:p w14:paraId="1AF6A881"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Month 1: Ethics approval, access agreements, final indicator dictionary.</w:t>
      </w:r>
      <w:r w:rsidRPr="007102A3">
        <w:rPr>
          <w:rFonts w:ascii="Times New Roman" w:hAnsi="Times New Roman" w:cs="Times New Roman"/>
        </w:rPr>
        <w:br/>
        <w:t>Month 2: Data extraction/cleaning; descriptives; pilot thresholds.</w:t>
      </w:r>
      <w:r w:rsidRPr="007102A3">
        <w:rPr>
          <w:rFonts w:ascii="Times New Roman" w:hAnsi="Times New Roman" w:cs="Times New Roman"/>
        </w:rPr>
        <w:br/>
        <w:t>Month 3: Model fitting (negative binomial, OLS), sensitivity; dashboard prototype.</w:t>
      </w:r>
      <w:r w:rsidRPr="007102A3">
        <w:rPr>
          <w:rFonts w:ascii="Times New Roman" w:hAnsi="Times New Roman" w:cs="Times New Roman"/>
        </w:rPr>
        <w:br/>
        <w:t>Month 4: Practitioner validation; refine weights/thresholds; finalize JDPA/control mapping.</w:t>
      </w:r>
      <w:r w:rsidRPr="007102A3">
        <w:rPr>
          <w:rFonts w:ascii="Times New Roman" w:hAnsi="Times New Roman" w:cs="Times New Roman"/>
        </w:rPr>
        <w:br/>
        <w:t>Month 5: Write-up; package artefacts; handover/briefing.</w:t>
      </w:r>
    </w:p>
    <w:p w14:paraId="03AB1031" w14:textId="77777777" w:rsidR="00BC3731" w:rsidRPr="007102A3" w:rsidRDefault="00BC3731" w:rsidP="007102A3">
      <w:pPr>
        <w:spacing w:after="0" w:line="276" w:lineRule="auto"/>
        <w:rPr>
          <w:rFonts w:ascii="Times New Roman" w:hAnsi="Times New Roman" w:cs="Times New Roman"/>
        </w:rPr>
      </w:pPr>
      <w:r w:rsidRPr="007102A3">
        <w:rPr>
          <w:rFonts w:ascii="Times New Roman" w:hAnsi="Times New Roman" w:cs="Times New Roman"/>
        </w:rPr>
        <w:t xml:space="preserve">Benchmarks and controls we’ll keep referring to throughout: OWASP API </w:t>
      </w:r>
      <w:proofErr w:type="gramStart"/>
      <w:r w:rsidRPr="007102A3">
        <w:rPr>
          <w:rFonts w:ascii="Times New Roman" w:hAnsi="Times New Roman" w:cs="Times New Roman"/>
        </w:rPr>
        <w:t>Top-10</w:t>
      </w:r>
      <w:proofErr w:type="gramEnd"/>
      <w:r w:rsidRPr="007102A3">
        <w:rPr>
          <w:rFonts w:ascii="Times New Roman" w:hAnsi="Times New Roman" w:cs="Times New Roman"/>
        </w:rPr>
        <w:t xml:space="preserve"> (2023); ISO/IEC 27017; CSA CCM v4; IMO/BIMCO guidance.</w:t>
      </w:r>
    </w:p>
    <w:p w14:paraId="5498EB89" w14:textId="77777777" w:rsidR="00BC3731" w:rsidRPr="007102A3" w:rsidRDefault="00BC3731" w:rsidP="007102A3">
      <w:pPr>
        <w:spacing w:after="0" w:line="276" w:lineRule="auto"/>
        <w:rPr>
          <w:rFonts w:ascii="Times New Roman" w:hAnsi="Times New Roman" w:cs="Times New Roman"/>
        </w:rPr>
      </w:pPr>
    </w:p>
    <w:p w14:paraId="756403B2" w14:textId="77777777" w:rsidR="00BC3731" w:rsidRPr="007102A3" w:rsidRDefault="00BC3731" w:rsidP="007102A3">
      <w:pPr>
        <w:spacing w:after="0" w:line="276" w:lineRule="auto"/>
        <w:rPr>
          <w:rFonts w:ascii="Times New Roman" w:hAnsi="Times New Roman" w:cs="Times New Roman"/>
        </w:rPr>
      </w:pPr>
    </w:p>
    <w:p w14:paraId="18EEA78C" w14:textId="2813A757"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Why this meets the marking criteria</w:t>
      </w:r>
    </w:p>
    <w:p w14:paraId="169E5E49" w14:textId="3C39A6AB" w:rsidR="00BC3731" w:rsidRPr="007102A3" w:rsidRDefault="00BC3731" w:rsidP="007102A3">
      <w:pPr>
        <w:numPr>
          <w:ilvl w:val="0"/>
          <w:numId w:val="11"/>
        </w:numPr>
        <w:spacing w:after="0" w:line="276" w:lineRule="auto"/>
        <w:rPr>
          <w:rFonts w:ascii="Times New Roman" w:hAnsi="Times New Roman" w:cs="Times New Roman"/>
        </w:rPr>
      </w:pPr>
      <w:r w:rsidRPr="007102A3">
        <w:rPr>
          <w:rFonts w:ascii="Times New Roman" w:hAnsi="Times New Roman" w:cs="Times New Roman"/>
        </w:rPr>
        <w:t>Major points identified: problem, RQ, theory → measures, methods, validity, ethics, outputs.</w:t>
      </w:r>
    </w:p>
    <w:p w14:paraId="5493C161" w14:textId="77777777" w:rsidR="00BC3731" w:rsidRPr="007102A3" w:rsidRDefault="00BC3731" w:rsidP="007102A3">
      <w:pPr>
        <w:numPr>
          <w:ilvl w:val="0"/>
          <w:numId w:val="11"/>
        </w:numPr>
        <w:spacing w:after="0" w:line="276" w:lineRule="auto"/>
        <w:rPr>
          <w:rFonts w:ascii="Times New Roman" w:hAnsi="Times New Roman" w:cs="Times New Roman"/>
        </w:rPr>
      </w:pPr>
      <w:r w:rsidRPr="007102A3">
        <w:rPr>
          <w:rFonts w:ascii="Times New Roman" w:hAnsi="Times New Roman" w:cs="Times New Roman"/>
        </w:rPr>
        <w:t>Details presented clearly: tables, definitions, units, models, decision rules, JDPA mapping.</w:t>
      </w:r>
    </w:p>
    <w:p w14:paraId="436E7C2E" w14:textId="77777777" w:rsidR="00BC3731" w:rsidRPr="007102A3" w:rsidRDefault="00BC3731" w:rsidP="007102A3">
      <w:pPr>
        <w:numPr>
          <w:ilvl w:val="0"/>
          <w:numId w:val="11"/>
        </w:numPr>
        <w:spacing w:after="0" w:line="276" w:lineRule="auto"/>
        <w:rPr>
          <w:rFonts w:ascii="Times New Roman" w:hAnsi="Times New Roman" w:cs="Times New Roman"/>
        </w:rPr>
      </w:pPr>
      <w:proofErr w:type="gramStart"/>
      <w:r w:rsidRPr="007102A3">
        <w:rPr>
          <w:rFonts w:ascii="Times New Roman" w:hAnsi="Times New Roman" w:cs="Times New Roman"/>
        </w:rPr>
        <w:t>Criticality</w:t>
      </w:r>
      <w:proofErr w:type="gramEnd"/>
      <w:r w:rsidRPr="007102A3">
        <w:rPr>
          <w:rFonts w:ascii="Times New Roman" w:hAnsi="Times New Roman" w:cs="Times New Roman"/>
        </w:rPr>
        <w:t>: I justify why a single-site, quant-led design now, list assumption checks, declare threats to validity, and show mitigations and replication via the handbook.</w:t>
      </w:r>
    </w:p>
    <w:p w14:paraId="68C45E43" w14:textId="77777777" w:rsidR="00BC3731" w:rsidRPr="007102A3" w:rsidRDefault="00BC3731" w:rsidP="007102A3">
      <w:pPr>
        <w:spacing w:after="0" w:line="276" w:lineRule="auto"/>
        <w:rPr>
          <w:rFonts w:ascii="Times New Roman" w:hAnsi="Times New Roman" w:cs="Times New Roman"/>
        </w:rPr>
      </w:pPr>
    </w:p>
    <w:p w14:paraId="512416AB" w14:textId="150773EC" w:rsidR="00BC3731" w:rsidRPr="007102A3" w:rsidRDefault="00BC3731" w:rsidP="007102A3">
      <w:pPr>
        <w:spacing w:after="0" w:line="276" w:lineRule="auto"/>
        <w:rPr>
          <w:rFonts w:ascii="Times New Roman" w:hAnsi="Times New Roman" w:cs="Times New Roman"/>
          <w:b/>
          <w:bCs/>
        </w:rPr>
      </w:pPr>
      <w:r w:rsidRPr="007102A3">
        <w:rPr>
          <w:rFonts w:ascii="Times New Roman" w:hAnsi="Times New Roman" w:cs="Times New Roman"/>
          <w:b/>
          <w:bCs/>
        </w:rPr>
        <w:t>Conclusion</w:t>
      </w:r>
    </w:p>
    <w:p w14:paraId="313AFB67" w14:textId="709D2116" w:rsidR="005B5BA1" w:rsidRDefault="00BC3731" w:rsidP="007102A3">
      <w:pPr>
        <w:spacing w:after="0" w:line="276" w:lineRule="auto"/>
        <w:rPr>
          <w:rFonts w:ascii="Times New Roman" w:hAnsi="Times New Roman" w:cs="Times New Roman"/>
        </w:rPr>
      </w:pPr>
      <w:r w:rsidRPr="007102A3">
        <w:rPr>
          <w:rFonts w:ascii="Times New Roman" w:hAnsi="Times New Roman" w:cs="Times New Roman"/>
        </w:rPr>
        <w:t xml:space="preserve">To close, this proposal turns cloud security into numbers the port can act on. The Cloud Risk Index and dashboard make risk explainable and auditable, every metric ties to a control family and JDPA evidence. Practically, we can start Monday morning: improve token hygiene, run a restore drill and track backup integrity, lift API trust with </w:t>
      </w:r>
      <w:proofErr w:type="spellStart"/>
      <w:r w:rsidRPr="007102A3">
        <w:rPr>
          <w:rFonts w:ascii="Times New Roman" w:hAnsi="Times New Roman" w:cs="Times New Roman"/>
        </w:rPr>
        <w:t>mTLS</w:t>
      </w:r>
      <w:proofErr w:type="spellEnd"/>
      <w:r w:rsidRPr="007102A3">
        <w:rPr>
          <w:rFonts w:ascii="Times New Roman" w:hAnsi="Times New Roman" w:cs="Times New Roman"/>
        </w:rPr>
        <w:t xml:space="preserve"> and scoped tokens, and quantify vendor concentration with HHI to justify multi-region or selective multi-vendor. From here, we complete ethics and access, collect the 12-month telemetry, fit and validate the models, and hand over the dashboard, measurement handbook, and DPIA mapping. </w:t>
      </w:r>
    </w:p>
    <w:p w14:paraId="0F2FDBC1" w14:textId="3A0E2FB7" w:rsidR="0072229B" w:rsidRDefault="0072229B">
      <w:pPr>
        <w:rPr>
          <w:rFonts w:ascii="Times New Roman" w:hAnsi="Times New Roman" w:cs="Times New Roman"/>
        </w:rPr>
      </w:pPr>
      <w:r>
        <w:rPr>
          <w:rFonts w:ascii="Times New Roman" w:hAnsi="Times New Roman" w:cs="Times New Roman"/>
        </w:rPr>
        <w:br w:type="page"/>
      </w:r>
    </w:p>
    <w:p w14:paraId="6378D544" w14:textId="1A7D6013" w:rsidR="0072229B" w:rsidRDefault="0072229B" w:rsidP="0072229B">
      <w:pPr>
        <w:spacing w:after="0" w:line="276" w:lineRule="auto"/>
        <w:rPr>
          <w:rFonts w:ascii="Times New Roman" w:hAnsi="Times New Roman" w:cs="Times New Roman"/>
          <w:b/>
          <w:bCs/>
        </w:rPr>
      </w:pPr>
      <w:r w:rsidRPr="0072229B">
        <w:rPr>
          <w:rFonts w:ascii="Times New Roman" w:hAnsi="Times New Roman" w:cs="Times New Roman"/>
          <w:b/>
          <w:bCs/>
        </w:rPr>
        <w:lastRenderedPageBreak/>
        <w:t xml:space="preserve">References </w:t>
      </w:r>
    </w:p>
    <w:p w14:paraId="2B22F943" w14:textId="77777777" w:rsidR="0072229B" w:rsidRPr="0072229B" w:rsidRDefault="0072229B" w:rsidP="0072229B">
      <w:pPr>
        <w:spacing w:after="0" w:line="276" w:lineRule="auto"/>
        <w:rPr>
          <w:rFonts w:ascii="Times New Roman" w:hAnsi="Times New Roman" w:cs="Times New Roman"/>
        </w:rPr>
      </w:pPr>
    </w:p>
    <w:p w14:paraId="2D9A8A7D" w14:textId="09ED1D45"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BIMCO, International Chamber of Shipping (ICS), International Association of Ports and Harbors (IAPH), INTERCARGO, INTERTANKO, &amp; Oil Companies International Marine Forum (OCIMF). (2024, November 14). </w:t>
      </w:r>
      <w:r w:rsidRPr="0072229B">
        <w:rPr>
          <w:rFonts w:ascii="Times New Roman" w:hAnsi="Times New Roman" w:cs="Times New Roman"/>
          <w:i/>
          <w:iCs/>
        </w:rPr>
        <w:t>The guidelines on cyber security onboard ships</w:t>
      </w:r>
      <w:r w:rsidRPr="0072229B">
        <w:rPr>
          <w:rFonts w:ascii="Times New Roman" w:hAnsi="Times New Roman" w:cs="Times New Roman"/>
        </w:rPr>
        <w:t xml:space="preserve"> (Version 5). </w:t>
      </w:r>
      <w:hyperlink r:id="rId5" w:tgtFrame="_new" w:history="1">
        <w:r w:rsidRPr="0072229B">
          <w:rPr>
            <w:rStyle w:val="Hyperlink"/>
            <w:rFonts w:ascii="Times New Roman" w:hAnsi="Times New Roman" w:cs="Times New Roman"/>
          </w:rPr>
          <w:t>https://www.maritimeglobalsecurity.org/media/g3qlxdaw/2024-11-14-guidelines_on_cyber_security-v5-final.pdf</w:t>
        </w:r>
      </w:hyperlink>
    </w:p>
    <w:p w14:paraId="3B55315A" w14:textId="77777777" w:rsidR="0072229B" w:rsidRPr="0072229B" w:rsidRDefault="0072229B" w:rsidP="0072229B">
      <w:pPr>
        <w:spacing w:after="0" w:line="276" w:lineRule="auto"/>
        <w:rPr>
          <w:rFonts w:ascii="Times New Roman" w:hAnsi="Times New Roman" w:cs="Times New Roman"/>
        </w:rPr>
      </w:pPr>
    </w:p>
    <w:p w14:paraId="1CBFAFC2" w14:textId="71694AF6"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Cloud Security Alliance. (2024/2025). </w:t>
      </w:r>
      <w:r w:rsidRPr="0072229B">
        <w:rPr>
          <w:rFonts w:ascii="Times New Roman" w:hAnsi="Times New Roman" w:cs="Times New Roman"/>
          <w:i/>
          <w:iCs/>
        </w:rPr>
        <w:t>Cloud Controls Matrix (CCM) v4 &amp; CAIQ v4</w:t>
      </w:r>
      <w:r w:rsidRPr="0072229B">
        <w:rPr>
          <w:rFonts w:ascii="Times New Roman" w:hAnsi="Times New Roman" w:cs="Times New Roman"/>
        </w:rPr>
        <w:t xml:space="preserve"> (released 2024-06-03; updated 2025-08-05). </w:t>
      </w:r>
      <w:hyperlink r:id="rId6" w:tgtFrame="_new" w:history="1">
        <w:r w:rsidRPr="0072229B">
          <w:rPr>
            <w:rStyle w:val="Hyperlink"/>
            <w:rFonts w:ascii="Times New Roman" w:hAnsi="Times New Roman" w:cs="Times New Roman"/>
          </w:rPr>
          <w:t>https://cloudsecurityalliance.org/artifacts/cloud-controls-matrix-v4</w:t>
        </w:r>
      </w:hyperlink>
    </w:p>
    <w:p w14:paraId="62E69A36" w14:textId="77777777" w:rsidR="0072229B" w:rsidRPr="0072229B" w:rsidRDefault="0072229B" w:rsidP="0072229B">
      <w:pPr>
        <w:spacing w:after="0" w:line="276" w:lineRule="auto"/>
        <w:rPr>
          <w:rFonts w:ascii="Times New Roman" w:hAnsi="Times New Roman" w:cs="Times New Roman"/>
        </w:rPr>
      </w:pPr>
    </w:p>
    <w:p w14:paraId="00C670DC" w14:textId="214D854E"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Cloud Security Alliance. (2024). </w:t>
      </w:r>
      <w:r w:rsidRPr="0072229B">
        <w:rPr>
          <w:rFonts w:ascii="Times New Roman" w:hAnsi="Times New Roman" w:cs="Times New Roman"/>
          <w:i/>
          <w:iCs/>
        </w:rPr>
        <w:t>CCM v4.0 implementation guidelines</w:t>
      </w:r>
      <w:r w:rsidRPr="0072229B">
        <w:rPr>
          <w:rFonts w:ascii="Times New Roman" w:hAnsi="Times New Roman" w:cs="Times New Roman"/>
        </w:rPr>
        <w:t xml:space="preserve">. </w:t>
      </w:r>
      <w:hyperlink r:id="rId7" w:tgtFrame="_new" w:history="1">
        <w:r w:rsidRPr="0072229B">
          <w:rPr>
            <w:rStyle w:val="Hyperlink"/>
            <w:rFonts w:ascii="Times New Roman" w:hAnsi="Times New Roman" w:cs="Times New Roman"/>
          </w:rPr>
          <w:t>https://cloudsecurityalliance.org/artifacts/ccm-v4-0-implementation-guidelines</w:t>
        </w:r>
      </w:hyperlink>
    </w:p>
    <w:p w14:paraId="5E31C3C8" w14:textId="77777777" w:rsidR="0072229B" w:rsidRPr="0072229B" w:rsidRDefault="0072229B" w:rsidP="0072229B">
      <w:pPr>
        <w:spacing w:after="0" w:line="276" w:lineRule="auto"/>
        <w:rPr>
          <w:rFonts w:ascii="Times New Roman" w:hAnsi="Times New Roman" w:cs="Times New Roman"/>
        </w:rPr>
      </w:pPr>
    </w:p>
    <w:p w14:paraId="57E4510E" w14:textId="64E20D91"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CyberArk. (2025). </w:t>
      </w:r>
      <w:r w:rsidRPr="0072229B">
        <w:rPr>
          <w:rFonts w:ascii="Times New Roman" w:hAnsi="Times New Roman" w:cs="Times New Roman"/>
          <w:i/>
          <w:iCs/>
        </w:rPr>
        <w:t>2025 state of machine identity security report</w:t>
      </w:r>
      <w:r w:rsidRPr="0072229B">
        <w:rPr>
          <w:rFonts w:ascii="Times New Roman" w:hAnsi="Times New Roman" w:cs="Times New Roman"/>
        </w:rPr>
        <w:t xml:space="preserve">. </w:t>
      </w:r>
      <w:hyperlink r:id="rId8" w:tgtFrame="_new" w:history="1">
        <w:r w:rsidRPr="0072229B">
          <w:rPr>
            <w:rStyle w:val="Hyperlink"/>
            <w:rFonts w:ascii="Times New Roman" w:hAnsi="Times New Roman" w:cs="Times New Roman"/>
          </w:rPr>
          <w:t>https://www.cyberark.com/CyberArk-2025-state-of-machine-identity-security-report.pdf</w:t>
        </w:r>
      </w:hyperlink>
    </w:p>
    <w:p w14:paraId="05840C0F" w14:textId="77777777" w:rsidR="0072229B" w:rsidRPr="0072229B" w:rsidRDefault="0072229B" w:rsidP="0072229B">
      <w:pPr>
        <w:spacing w:after="0" w:line="276" w:lineRule="auto"/>
        <w:rPr>
          <w:rFonts w:ascii="Times New Roman" w:hAnsi="Times New Roman" w:cs="Times New Roman"/>
        </w:rPr>
      </w:pPr>
    </w:p>
    <w:p w14:paraId="6D067B92" w14:textId="702905E0"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European Union Agency for Cybersecurity (ENISA). (2023, October). </w:t>
      </w:r>
      <w:r w:rsidRPr="0072229B">
        <w:rPr>
          <w:rFonts w:ascii="Times New Roman" w:hAnsi="Times New Roman" w:cs="Times New Roman"/>
          <w:i/>
          <w:iCs/>
        </w:rPr>
        <w:t>ENISA threat landscape 2023</w:t>
      </w:r>
      <w:r w:rsidRPr="0072229B">
        <w:rPr>
          <w:rFonts w:ascii="Times New Roman" w:hAnsi="Times New Roman" w:cs="Times New Roman"/>
        </w:rPr>
        <w:t xml:space="preserve">. </w:t>
      </w:r>
      <w:hyperlink r:id="rId9" w:tgtFrame="_new" w:history="1">
        <w:r w:rsidRPr="0072229B">
          <w:rPr>
            <w:rStyle w:val="Hyperlink"/>
            <w:rFonts w:ascii="Times New Roman" w:hAnsi="Times New Roman" w:cs="Times New Roman"/>
          </w:rPr>
          <w:t>https://www.enisa.europa.eu/sites/default/files/publications/ENISA%20Threat%20Landscape%202023.pdf</w:t>
        </w:r>
      </w:hyperlink>
    </w:p>
    <w:p w14:paraId="6F72307B" w14:textId="77777777" w:rsidR="0072229B" w:rsidRPr="0072229B" w:rsidRDefault="0072229B" w:rsidP="0072229B">
      <w:pPr>
        <w:spacing w:after="0" w:line="276" w:lineRule="auto"/>
        <w:rPr>
          <w:rFonts w:ascii="Times New Roman" w:hAnsi="Times New Roman" w:cs="Times New Roman"/>
        </w:rPr>
      </w:pPr>
    </w:p>
    <w:p w14:paraId="2CBF9484" w14:textId="3307C557"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Federal Trade Commission, &amp; U.S. Department of Justice. (2023, December 18). </w:t>
      </w:r>
      <w:r w:rsidRPr="0072229B">
        <w:rPr>
          <w:rFonts w:ascii="Times New Roman" w:hAnsi="Times New Roman" w:cs="Times New Roman"/>
          <w:i/>
          <w:iCs/>
        </w:rPr>
        <w:t>Merger guidelines</w:t>
      </w:r>
      <w:r w:rsidRPr="0072229B">
        <w:rPr>
          <w:rFonts w:ascii="Times New Roman" w:hAnsi="Times New Roman" w:cs="Times New Roman"/>
        </w:rPr>
        <w:t xml:space="preserve">. </w:t>
      </w:r>
      <w:hyperlink r:id="rId10" w:tgtFrame="_new" w:history="1">
        <w:r w:rsidRPr="0072229B">
          <w:rPr>
            <w:rStyle w:val="Hyperlink"/>
            <w:rFonts w:ascii="Times New Roman" w:hAnsi="Times New Roman" w:cs="Times New Roman"/>
          </w:rPr>
          <w:t>https://www.ftc.gov/system/files/ftc_gov/pdf/2023_merger_guidelines_final_12.18.2023.pdf</w:t>
        </w:r>
      </w:hyperlink>
    </w:p>
    <w:p w14:paraId="3A200903" w14:textId="77777777" w:rsidR="0072229B" w:rsidRPr="0072229B" w:rsidRDefault="0072229B" w:rsidP="0072229B">
      <w:pPr>
        <w:spacing w:after="0" w:line="276" w:lineRule="auto"/>
        <w:rPr>
          <w:rFonts w:ascii="Times New Roman" w:hAnsi="Times New Roman" w:cs="Times New Roman"/>
        </w:rPr>
      </w:pPr>
    </w:p>
    <w:p w14:paraId="4CB144D3" w14:textId="5512ED6E"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International Maritime Organization. (2025, April 4). </w:t>
      </w:r>
      <w:r w:rsidRPr="0072229B">
        <w:rPr>
          <w:rFonts w:ascii="Times New Roman" w:hAnsi="Times New Roman" w:cs="Times New Roman"/>
          <w:i/>
          <w:iCs/>
        </w:rPr>
        <w:t>MSC-FAL.1/Circ.3/Rev.3: Guidelines on maritime cyber risk management</w:t>
      </w:r>
      <w:r w:rsidRPr="0072229B">
        <w:rPr>
          <w:rFonts w:ascii="Times New Roman" w:hAnsi="Times New Roman" w:cs="Times New Roman"/>
        </w:rPr>
        <w:t xml:space="preserve">. </w:t>
      </w:r>
      <w:hyperlink r:id="rId11" w:tgtFrame="_new" w:history="1">
        <w:r w:rsidRPr="0072229B">
          <w:rPr>
            <w:rStyle w:val="Hyperlink"/>
            <w:rFonts w:ascii="Times New Roman" w:hAnsi="Times New Roman" w:cs="Times New Roman"/>
          </w:rPr>
          <w:t>https://wwwcdn.imo.org/localresources/en/OurWork/Security/Documents/MSC-FAL.1-Circ.3-Rev.3.pdf</w:t>
        </w:r>
      </w:hyperlink>
    </w:p>
    <w:p w14:paraId="6A9D37AC" w14:textId="77777777" w:rsidR="0072229B" w:rsidRPr="0072229B" w:rsidRDefault="0072229B" w:rsidP="0072229B">
      <w:pPr>
        <w:spacing w:after="0" w:line="276" w:lineRule="auto"/>
        <w:rPr>
          <w:rFonts w:ascii="Times New Roman" w:hAnsi="Times New Roman" w:cs="Times New Roman"/>
        </w:rPr>
      </w:pPr>
    </w:p>
    <w:p w14:paraId="47AA2752" w14:textId="34F2F42A"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International Organization for Standardization. (2015). </w:t>
      </w:r>
      <w:r w:rsidRPr="0072229B">
        <w:rPr>
          <w:rFonts w:ascii="Times New Roman" w:hAnsi="Times New Roman" w:cs="Times New Roman"/>
          <w:i/>
          <w:iCs/>
        </w:rPr>
        <w:t>ISO/IEC 27017:2015—Information technology—Security techniques—Code of practice for information security controls for cloud services</w:t>
      </w:r>
      <w:r w:rsidRPr="0072229B">
        <w:rPr>
          <w:rFonts w:ascii="Times New Roman" w:hAnsi="Times New Roman" w:cs="Times New Roman"/>
        </w:rPr>
        <w:t xml:space="preserve">. </w:t>
      </w:r>
      <w:hyperlink r:id="rId12" w:tgtFrame="_new" w:history="1">
        <w:r w:rsidRPr="0072229B">
          <w:rPr>
            <w:rStyle w:val="Hyperlink"/>
            <w:rFonts w:ascii="Times New Roman" w:hAnsi="Times New Roman" w:cs="Times New Roman"/>
          </w:rPr>
          <w:t>https://www.iso.org/standard/43757.html</w:t>
        </w:r>
      </w:hyperlink>
    </w:p>
    <w:p w14:paraId="06BB307F" w14:textId="77777777" w:rsidR="0072229B" w:rsidRPr="0072229B" w:rsidRDefault="0072229B" w:rsidP="0072229B">
      <w:pPr>
        <w:spacing w:after="0" w:line="276" w:lineRule="auto"/>
        <w:rPr>
          <w:rFonts w:ascii="Times New Roman" w:hAnsi="Times New Roman" w:cs="Times New Roman"/>
        </w:rPr>
      </w:pPr>
    </w:p>
    <w:p w14:paraId="65B3585E" w14:textId="0834CE63"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Microsoft. (2023, March 30). </w:t>
      </w:r>
      <w:r w:rsidRPr="0072229B">
        <w:rPr>
          <w:rFonts w:ascii="Times New Roman" w:hAnsi="Times New Roman" w:cs="Times New Roman"/>
          <w:i/>
          <w:iCs/>
        </w:rPr>
        <w:t>New Microsoft Entra features strengthen identity security</w:t>
      </w:r>
      <w:r w:rsidRPr="0072229B">
        <w:rPr>
          <w:rFonts w:ascii="Times New Roman" w:hAnsi="Times New Roman" w:cs="Times New Roman"/>
        </w:rPr>
        <w:t xml:space="preserve">. Microsoft Security Blog. </w:t>
      </w:r>
      <w:hyperlink r:id="rId13" w:tgtFrame="_new" w:history="1">
        <w:r w:rsidRPr="0072229B">
          <w:rPr>
            <w:rStyle w:val="Hyperlink"/>
            <w:rFonts w:ascii="Times New Roman" w:hAnsi="Times New Roman" w:cs="Times New Roman"/>
          </w:rPr>
          <w:t>https://www.microsoft.com/en-us/security/blog/2023/03/30/latest-microsoft-entra-advancements-strengthen-identity-security/</w:t>
        </w:r>
      </w:hyperlink>
    </w:p>
    <w:p w14:paraId="77996EE9" w14:textId="77777777" w:rsidR="0072229B" w:rsidRPr="0072229B" w:rsidRDefault="0072229B" w:rsidP="0072229B">
      <w:pPr>
        <w:spacing w:after="0" w:line="276" w:lineRule="auto"/>
        <w:rPr>
          <w:rFonts w:ascii="Times New Roman" w:hAnsi="Times New Roman" w:cs="Times New Roman"/>
        </w:rPr>
      </w:pPr>
    </w:p>
    <w:p w14:paraId="2C51F759" w14:textId="58C2F87F"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Office of the Information Commissioner (Jamaica). (n.d.). </w:t>
      </w:r>
      <w:r w:rsidRPr="0072229B">
        <w:rPr>
          <w:rFonts w:ascii="Times New Roman" w:hAnsi="Times New Roman" w:cs="Times New Roman"/>
          <w:i/>
          <w:iCs/>
        </w:rPr>
        <w:t>Things you need to know</w:t>
      </w:r>
      <w:r w:rsidRPr="0072229B">
        <w:rPr>
          <w:rFonts w:ascii="Times New Roman" w:hAnsi="Times New Roman" w:cs="Times New Roman"/>
        </w:rPr>
        <w:t xml:space="preserve">. </w:t>
      </w:r>
      <w:hyperlink r:id="rId14" w:tgtFrame="_new" w:history="1">
        <w:r w:rsidRPr="0072229B">
          <w:rPr>
            <w:rStyle w:val="Hyperlink"/>
            <w:rFonts w:ascii="Times New Roman" w:hAnsi="Times New Roman" w:cs="Times New Roman"/>
          </w:rPr>
          <w:t>https://oic.gov.jm/page/things-you-need-know</w:t>
        </w:r>
      </w:hyperlink>
    </w:p>
    <w:p w14:paraId="562D0B87" w14:textId="77777777" w:rsidR="0072229B" w:rsidRPr="0072229B" w:rsidRDefault="0072229B" w:rsidP="0072229B">
      <w:pPr>
        <w:spacing w:after="0" w:line="276" w:lineRule="auto"/>
        <w:rPr>
          <w:rFonts w:ascii="Times New Roman" w:hAnsi="Times New Roman" w:cs="Times New Roman"/>
        </w:rPr>
      </w:pPr>
    </w:p>
    <w:p w14:paraId="5F8AEC12" w14:textId="21A86D2C"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OWASP Foundation. (2023). </w:t>
      </w:r>
      <w:r w:rsidRPr="0072229B">
        <w:rPr>
          <w:rFonts w:ascii="Times New Roman" w:hAnsi="Times New Roman" w:cs="Times New Roman"/>
          <w:i/>
          <w:iCs/>
        </w:rPr>
        <w:t>OWASP Top 10 API security risks – 2023</w:t>
      </w:r>
      <w:r w:rsidRPr="0072229B">
        <w:rPr>
          <w:rFonts w:ascii="Times New Roman" w:hAnsi="Times New Roman" w:cs="Times New Roman"/>
        </w:rPr>
        <w:t xml:space="preserve">. </w:t>
      </w:r>
      <w:hyperlink r:id="rId15" w:tgtFrame="_new" w:history="1">
        <w:r w:rsidRPr="0072229B">
          <w:rPr>
            <w:rStyle w:val="Hyperlink"/>
            <w:rFonts w:ascii="Times New Roman" w:hAnsi="Times New Roman" w:cs="Times New Roman"/>
          </w:rPr>
          <w:t>https://owasp.org/API-Security/editions/2023/en/0x11-t10/</w:t>
        </w:r>
      </w:hyperlink>
    </w:p>
    <w:p w14:paraId="01F1D0E3" w14:textId="77777777" w:rsidR="0072229B" w:rsidRPr="0072229B" w:rsidRDefault="0072229B" w:rsidP="0072229B">
      <w:pPr>
        <w:spacing w:after="0" w:line="276" w:lineRule="auto"/>
        <w:rPr>
          <w:rFonts w:ascii="Times New Roman" w:hAnsi="Times New Roman" w:cs="Times New Roman"/>
        </w:rPr>
      </w:pPr>
    </w:p>
    <w:p w14:paraId="6F8F471A" w14:textId="6EA162F1"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Sophos. (2024, April 30). </w:t>
      </w:r>
      <w:r w:rsidRPr="0072229B">
        <w:rPr>
          <w:rFonts w:ascii="Times New Roman" w:hAnsi="Times New Roman" w:cs="Times New Roman"/>
          <w:i/>
          <w:iCs/>
        </w:rPr>
        <w:t>The state of ransomware 2024</w:t>
      </w:r>
      <w:r w:rsidRPr="0072229B">
        <w:rPr>
          <w:rFonts w:ascii="Times New Roman" w:hAnsi="Times New Roman" w:cs="Times New Roman"/>
        </w:rPr>
        <w:t xml:space="preserve">. </w:t>
      </w:r>
      <w:hyperlink r:id="rId16" w:tgtFrame="_new" w:history="1">
        <w:r w:rsidRPr="0072229B">
          <w:rPr>
            <w:rStyle w:val="Hyperlink"/>
            <w:rFonts w:ascii="Times New Roman" w:hAnsi="Times New Roman" w:cs="Times New Roman"/>
          </w:rPr>
          <w:t>https://news.sophos.com/en-us/2024/04/30/the-state-of-ransomware-2024/</w:t>
        </w:r>
      </w:hyperlink>
    </w:p>
    <w:p w14:paraId="24F3FA6E" w14:textId="77777777" w:rsidR="0072229B" w:rsidRPr="0072229B" w:rsidRDefault="0072229B" w:rsidP="0072229B">
      <w:pPr>
        <w:spacing w:after="0" w:line="276" w:lineRule="auto"/>
        <w:rPr>
          <w:rFonts w:ascii="Times New Roman" w:hAnsi="Times New Roman" w:cs="Times New Roman"/>
        </w:rPr>
      </w:pPr>
    </w:p>
    <w:p w14:paraId="66A7A51B" w14:textId="77777777" w:rsidR="0072229B" w:rsidRP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Sophos. (2025, June 24). </w:t>
      </w:r>
      <w:r w:rsidRPr="0072229B">
        <w:rPr>
          <w:rFonts w:ascii="Times New Roman" w:hAnsi="Times New Roman" w:cs="Times New Roman"/>
          <w:i/>
          <w:iCs/>
        </w:rPr>
        <w:t>The state of ransomware 2025</w:t>
      </w:r>
      <w:r w:rsidRPr="0072229B">
        <w:rPr>
          <w:rFonts w:ascii="Times New Roman" w:hAnsi="Times New Roman" w:cs="Times New Roman"/>
        </w:rPr>
        <w:t>. https://www.sophos.com/en-us/content/state-of-ransomware</w:t>
      </w:r>
    </w:p>
    <w:p w14:paraId="4875F5F8" w14:textId="20758693"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Synergy Research Group. (2025, July 31). </w:t>
      </w:r>
      <w:r w:rsidRPr="0072229B">
        <w:rPr>
          <w:rFonts w:ascii="Times New Roman" w:hAnsi="Times New Roman" w:cs="Times New Roman"/>
          <w:i/>
          <w:iCs/>
        </w:rPr>
        <w:t xml:space="preserve">Q2 cloud market nears $100 billion </w:t>
      </w:r>
      <w:proofErr w:type="gramStart"/>
      <w:r w:rsidRPr="0072229B">
        <w:rPr>
          <w:rFonts w:ascii="Times New Roman" w:hAnsi="Times New Roman" w:cs="Times New Roman"/>
          <w:i/>
          <w:iCs/>
        </w:rPr>
        <w:t>milestone—</w:t>
      </w:r>
      <w:proofErr w:type="gramEnd"/>
      <w:r w:rsidRPr="0072229B">
        <w:rPr>
          <w:rFonts w:ascii="Times New Roman" w:hAnsi="Times New Roman" w:cs="Times New Roman"/>
          <w:i/>
          <w:iCs/>
        </w:rPr>
        <w:t>and it’s still growing by 25% year over year</w:t>
      </w:r>
      <w:r w:rsidRPr="0072229B">
        <w:rPr>
          <w:rFonts w:ascii="Times New Roman" w:hAnsi="Times New Roman" w:cs="Times New Roman"/>
        </w:rPr>
        <w:t xml:space="preserve">. </w:t>
      </w:r>
      <w:hyperlink r:id="rId17" w:tgtFrame="_new" w:history="1">
        <w:r w:rsidRPr="0072229B">
          <w:rPr>
            <w:rStyle w:val="Hyperlink"/>
            <w:rFonts w:ascii="Times New Roman" w:hAnsi="Times New Roman" w:cs="Times New Roman"/>
          </w:rPr>
          <w:t>https://www.srgresearch.com/articles/q2-cloud-market-nears-100-billion-milestone-and-its-still-growing-by-25-year-over-year</w:t>
        </w:r>
      </w:hyperlink>
    </w:p>
    <w:p w14:paraId="74C1611D" w14:textId="77777777" w:rsidR="0072229B" w:rsidRPr="0072229B" w:rsidRDefault="0072229B" w:rsidP="0072229B">
      <w:pPr>
        <w:spacing w:after="0" w:line="276" w:lineRule="auto"/>
        <w:rPr>
          <w:rFonts w:ascii="Times New Roman" w:hAnsi="Times New Roman" w:cs="Times New Roman"/>
        </w:rPr>
      </w:pPr>
    </w:p>
    <w:p w14:paraId="7069F9EA" w14:textId="105B8D9F"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U.S. Department of Justice. (2010, August 19). </w:t>
      </w:r>
      <w:r w:rsidRPr="0072229B">
        <w:rPr>
          <w:rFonts w:ascii="Times New Roman" w:hAnsi="Times New Roman" w:cs="Times New Roman"/>
          <w:i/>
          <w:iCs/>
        </w:rPr>
        <w:t>Horizontal merger guidelines</w:t>
      </w:r>
      <w:r w:rsidRPr="0072229B">
        <w:rPr>
          <w:rFonts w:ascii="Times New Roman" w:hAnsi="Times New Roman" w:cs="Times New Roman"/>
        </w:rPr>
        <w:t xml:space="preserve">. </w:t>
      </w:r>
      <w:hyperlink r:id="rId18" w:tgtFrame="_new" w:history="1">
        <w:r w:rsidRPr="0072229B">
          <w:rPr>
            <w:rStyle w:val="Hyperlink"/>
            <w:rFonts w:ascii="Times New Roman" w:hAnsi="Times New Roman" w:cs="Times New Roman"/>
          </w:rPr>
          <w:t>https://www.justice.gov/atr/file/810276/dl?inline=</w:t>
        </w:r>
      </w:hyperlink>
    </w:p>
    <w:p w14:paraId="08483457" w14:textId="77777777" w:rsidR="0072229B" w:rsidRPr="0072229B" w:rsidRDefault="0072229B" w:rsidP="0072229B">
      <w:pPr>
        <w:spacing w:after="0" w:line="276" w:lineRule="auto"/>
        <w:rPr>
          <w:rFonts w:ascii="Times New Roman" w:hAnsi="Times New Roman" w:cs="Times New Roman"/>
        </w:rPr>
      </w:pPr>
    </w:p>
    <w:p w14:paraId="2CA58982" w14:textId="6CC2DD42" w:rsid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U.S. Department of Justice, Antitrust Division. (2024, January 17). </w:t>
      </w:r>
      <w:r w:rsidRPr="0072229B">
        <w:rPr>
          <w:rFonts w:ascii="Times New Roman" w:hAnsi="Times New Roman" w:cs="Times New Roman"/>
          <w:i/>
          <w:iCs/>
        </w:rPr>
        <w:t>Herfindahl–Hirschman Index</w:t>
      </w:r>
      <w:r w:rsidRPr="0072229B">
        <w:rPr>
          <w:rFonts w:ascii="Times New Roman" w:hAnsi="Times New Roman" w:cs="Times New Roman"/>
        </w:rPr>
        <w:t xml:space="preserve">. </w:t>
      </w:r>
      <w:hyperlink r:id="rId19" w:history="1">
        <w:r w:rsidRPr="0072229B">
          <w:rPr>
            <w:rStyle w:val="Hyperlink"/>
            <w:rFonts w:ascii="Times New Roman" w:hAnsi="Times New Roman" w:cs="Times New Roman"/>
          </w:rPr>
          <w:t>https://www.justice.gov/atr/herfindahl-hirschman-index</w:t>
        </w:r>
      </w:hyperlink>
    </w:p>
    <w:p w14:paraId="68C81E79" w14:textId="77777777" w:rsidR="0072229B" w:rsidRDefault="0072229B" w:rsidP="0072229B">
      <w:pPr>
        <w:spacing w:after="0" w:line="276" w:lineRule="auto"/>
        <w:rPr>
          <w:rFonts w:ascii="Times New Roman" w:hAnsi="Times New Roman" w:cs="Times New Roman"/>
        </w:rPr>
      </w:pPr>
    </w:p>
    <w:p w14:paraId="2C293D78" w14:textId="2BDB5BB5" w:rsidR="0072229B" w:rsidRPr="0072229B" w:rsidRDefault="0072229B" w:rsidP="0072229B">
      <w:pPr>
        <w:spacing w:after="0" w:line="276" w:lineRule="auto"/>
        <w:rPr>
          <w:rFonts w:ascii="Times New Roman" w:hAnsi="Times New Roman" w:cs="Times New Roman"/>
        </w:rPr>
      </w:pPr>
      <w:r w:rsidRPr="0072229B">
        <w:rPr>
          <w:rFonts w:ascii="Times New Roman" w:hAnsi="Times New Roman" w:cs="Times New Roman"/>
        </w:rPr>
        <w:t xml:space="preserve">CRN. (2025, August 7). </w:t>
      </w:r>
      <w:r w:rsidRPr="0072229B">
        <w:rPr>
          <w:rFonts w:ascii="Times New Roman" w:hAnsi="Times New Roman" w:cs="Times New Roman"/>
          <w:i/>
          <w:iCs/>
        </w:rPr>
        <w:t>Cloud market share Q2 2025: Microsoft dips, AWS still kingpin</w:t>
      </w:r>
      <w:r w:rsidRPr="0072229B">
        <w:rPr>
          <w:rFonts w:ascii="Times New Roman" w:hAnsi="Times New Roman" w:cs="Times New Roman"/>
        </w:rPr>
        <w:t xml:space="preserve">. </w:t>
      </w:r>
      <w:hyperlink r:id="rId20" w:tgtFrame="_new" w:history="1">
        <w:r w:rsidRPr="0072229B">
          <w:rPr>
            <w:rStyle w:val="Hyperlink"/>
            <w:rFonts w:ascii="Times New Roman" w:hAnsi="Times New Roman" w:cs="Times New Roman"/>
          </w:rPr>
          <w:t>https://www.crn.com/news/clo</w:t>
        </w:r>
        <w:r w:rsidRPr="0072229B">
          <w:rPr>
            <w:rStyle w:val="Hyperlink"/>
            <w:rFonts w:ascii="Times New Roman" w:hAnsi="Times New Roman" w:cs="Times New Roman"/>
          </w:rPr>
          <w:t>u</w:t>
        </w:r>
        <w:r w:rsidRPr="0072229B">
          <w:rPr>
            <w:rStyle w:val="Hyperlink"/>
            <w:rFonts w:ascii="Times New Roman" w:hAnsi="Times New Roman" w:cs="Times New Roman"/>
          </w:rPr>
          <w:t>d/2025/cloud-market-share-q2-2025-microsoft-dips-aws-still-kingpin</w:t>
        </w:r>
      </w:hyperlink>
    </w:p>
    <w:p w14:paraId="4D494696" w14:textId="77777777" w:rsidR="0072229B" w:rsidRPr="007102A3" w:rsidRDefault="0072229B" w:rsidP="007102A3">
      <w:pPr>
        <w:spacing w:after="0" w:line="276" w:lineRule="auto"/>
        <w:rPr>
          <w:rFonts w:ascii="Times New Roman" w:hAnsi="Times New Roman" w:cs="Times New Roman"/>
        </w:rPr>
      </w:pPr>
    </w:p>
    <w:sectPr w:rsidR="0072229B" w:rsidRPr="007102A3" w:rsidSect="00BC373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ABE"/>
    <w:multiLevelType w:val="multilevel"/>
    <w:tmpl w:val="D5B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B2EB4"/>
    <w:multiLevelType w:val="multilevel"/>
    <w:tmpl w:val="F824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48F4"/>
    <w:multiLevelType w:val="multilevel"/>
    <w:tmpl w:val="E5C4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C3EF0"/>
    <w:multiLevelType w:val="multilevel"/>
    <w:tmpl w:val="972A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54B76"/>
    <w:multiLevelType w:val="multilevel"/>
    <w:tmpl w:val="6CC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62E09"/>
    <w:multiLevelType w:val="multilevel"/>
    <w:tmpl w:val="96D6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6746D"/>
    <w:multiLevelType w:val="multilevel"/>
    <w:tmpl w:val="B81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D7CF6"/>
    <w:multiLevelType w:val="multilevel"/>
    <w:tmpl w:val="9CB6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C5056"/>
    <w:multiLevelType w:val="multilevel"/>
    <w:tmpl w:val="6E2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35780"/>
    <w:multiLevelType w:val="multilevel"/>
    <w:tmpl w:val="1E8E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20EF6"/>
    <w:multiLevelType w:val="multilevel"/>
    <w:tmpl w:val="57A48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83A15"/>
    <w:multiLevelType w:val="multilevel"/>
    <w:tmpl w:val="D63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32A95"/>
    <w:multiLevelType w:val="multilevel"/>
    <w:tmpl w:val="C10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66E59"/>
    <w:multiLevelType w:val="multilevel"/>
    <w:tmpl w:val="26F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F0E79"/>
    <w:multiLevelType w:val="multilevel"/>
    <w:tmpl w:val="C8FE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62E82"/>
    <w:multiLevelType w:val="multilevel"/>
    <w:tmpl w:val="EFC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F4B94"/>
    <w:multiLevelType w:val="multilevel"/>
    <w:tmpl w:val="7B48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222F5"/>
    <w:multiLevelType w:val="multilevel"/>
    <w:tmpl w:val="6F9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C3A71"/>
    <w:multiLevelType w:val="multilevel"/>
    <w:tmpl w:val="606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22C38"/>
    <w:multiLevelType w:val="multilevel"/>
    <w:tmpl w:val="254C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222F4"/>
    <w:multiLevelType w:val="multilevel"/>
    <w:tmpl w:val="343A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123009">
    <w:abstractNumId w:val="7"/>
  </w:num>
  <w:num w:numId="2" w16cid:durableId="249584835">
    <w:abstractNumId w:val="17"/>
  </w:num>
  <w:num w:numId="3" w16cid:durableId="440808750">
    <w:abstractNumId w:val="0"/>
  </w:num>
  <w:num w:numId="4" w16cid:durableId="1853566853">
    <w:abstractNumId w:val="13"/>
  </w:num>
  <w:num w:numId="5" w16cid:durableId="1490515781">
    <w:abstractNumId w:val="9"/>
  </w:num>
  <w:num w:numId="6" w16cid:durableId="668100774">
    <w:abstractNumId w:val="12"/>
  </w:num>
  <w:num w:numId="7" w16cid:durableId="1882286787">
    <w:abstractNumId w:val="15"/>
  </w:num>
  <w:num w:numId="8" w16cid:durableId="1882012327">
    <w:abstractNumId w:val="3"/>
  </w:num>
  <w:num w:numId="9" w16cid:durableId="1306275301">
    <w:abstractNumId w:val="14"/>
  </w:num>
  <w:num w:numId="10" w16cid:durableId="1698651363">
    <w:abstractNumId w:val="18"/>
  </w:num>
  <w:num w:numId="11" w16cid:durableId="1775590342">
    <w:abstractNumId w:val="8"/>
  </w:num>
  <w:num w:numId="12" w16cid:durableId="319774367">
    <w:abstractNumId w:val="19"/>
  </w:num>
  <w:num w:numId="13" w16cid:durableId="1669021583">
    <w:abstractNumId w:val="10"/>
  </w:num>
  <w:num w:numId="14" w16cid:durableId="1956212193">
    <w:abstractNumId w:val="1"/>
  </w:num>
  <w:num w:numId="15" w16cid:durableId="136849827">
    <w:abstractNumId w:val="6"/>
  </w:num>
  <w:num w:numId="16" w16cid:durableId="1634287278">
    <w:abstractNumId w:val="2"/>
  </w:num>
  <w:num w:numId="17" w16cid:durableId="118913973">
    <w:abstractNumId w:val="16"/>
  </w:num>
  <w:num w:numId="18" w16cid:durableId="464586920">
    <w:abstractNumId w:val="4"/>
  </w:num>
  <w:num w:numId="19" w16cid:durableId="1579558593">
    <w:abstractNumId w:val="11"/>
  </w:num>
  <w:num w:numId="20" w16cid:durableId="1300647634">
    <w:abstractNumId w:val="20"/>
  </w:num>
  <w:num w:numId="21" w16cid:durableId="884223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31"/>
    <w:rsid w:val="001605F1"/>
    <w:rsid w:val="005B5BA1"/>
    <w:rsid w:val="006F57BE"/>
    <w:rsid w:val="007102A3"/>
    <w:rsid w:val="0072229B"/>
    <w:rsid w:val="00737040"/>
    <w:rsid w:val="00BC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6C1E"/>
  <w15:chartTrackingRefBased/>
  <w15:docId w15:val="{1E708D1F-8CA2-463B-811D-0315CEC4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731"/>
  </w:style>
  <w:style w:type="paragraph" w:styleId="Heading1">
    <w:name w:val="heading 1"/>
    <w:basedOn w:val="Normal"/>
    <w:next w:val="Normal"/>
    <w:link w:val="Heading1Char"/>
    <w:uiPriority w:val="9"/>
    <w:qFormat/>
    <w:rsid w:val="00BC3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31"/>
    <w:rPr>
      <w:rFonts w:eastAsiaTheme="majorEastAsia" w:cstheme="majorBidi"/>
      <w:color w:val="272727" w:themeColor="text1" w:themeTint="D8"/>
    </w:rPr>
  </w:style>
  <w:style w:type="paragraph" w:styleId="Title">
    <w:name w:val="Title"/>
    <w:basedOn w:val="Normal"/>
    <w:next w:val="Normal"/>
    <w:link w:val="TitleChar"/>
    <w:uiPriority w:val="10"/>
    <w:qFormat/>
    <w:rsid w:val="00BC3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31"/>
    <w:pPr>
      <w:spacing w:before="160"/>
      <w:jc w:val="center"/>
    </w:pPr>
    <w:rPr>
      <w:i/>
      <w:iCs/>
      <w:color w:val="404040" w:themeColor="text1" w:themeTint="BF"/>
    </w:rPr>
  </w:style>
  <w:style w:type="character" w:customStyle="1" w:styleId="QuoteChar">
    <w:name w:val="Quote Char"/>
    <w:basedOn w:val="DefaultParagraphFont"/>
    <w:link w:val="Quote"/>
    <w:uiPriority w:val="29"/>
    <w:rsid w:val="00BC3731"/>
    <w:rPr>
      <w:i/>
      <w:iCs/>
      <w:color w:val="404040" w:themeColor="text1" w:themeTint="BF"/>
    </w:rPr>
  </w:style>
  <w:style w:type="paragraph" w:styleId="ListParagraph">
    <w:name w:val="List Paragraph"/>
    <w:basedOn w:val="Normal"/>
    <w:uiPriority w:val="34"/>
    <w:qFormat/>
    <w:rsid w:val="00BC3731"/>
    <w:pPr>
      <w:ind w:left="720"/>
      <w:contextualSpacing/>
    </w:pPr>
  </w:style>
  <w:style w:type="character" w:styleId="IntenseEmphasis">
    <w:name w:val="Intense Emphasis"/>
    <w:basedOn w:val="DefaultParagraphFont"/>
    <w:uiPriority w:val="21"/>
    <w:qFormat/>
    <w:rsid w:val="00BC3731"/>
    <w:rPr>
      <w:i/>
      <w:iCs/>
      <w:color w:val="0F4761" w:themeColor="accent1" w:themeShade="BF"/>
    </w:rPr>
  </w:style>
  <w:style w:type="paragraph" w:styleId="IntenseQuote">
    <w:name w:val="Intense Quote"/>
    <w:basedOn w:val="Normal"/>
    <w:next w:val="Normal"/>
    <w:link w:val="IntenseQuoteChar"/>
    <w:uiPriority w:val="30"/>
    <w:qFormat/>
    <w:rsid w:val="00BC3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731"/>
    <w:rPr>
      <w:i/>
      <w:iCs/>
      <w:color w:val="0F4761" w:themeColor="accent1" w:themeShade="BF"/>
    </w:rPr>
  </w:style>
  <w:style w:type="character" w:styleId="IntenseReference">
    <w:name w:val="Intense Reference"/>
    <w:basedOn w:val="DefaultParagraphFont"/>
    <w:uiPriority w:val="32"/>
    <w:qFormat/>
    <w:rsid w:val="00BC3731"/>
    <w:rPr>
      <w:b/>
      <w:bCs/>
      <w:smallCaps/>
      <w:color w:val="0F4761" w:themeColor="accent1" w:themeShade="BF"/>
      <w:spacing w:val="5"/>
    </w:rPr>
  </w:style>
  <w:style w:type="character" w:styleId="Hyperlink">
    <w:name w:val="Hyperlink"/>
    <w:basedOn w:val="DefaultParagraphFont"/>
    <w:uiPriority w:val="99"/>
    <w:unhideWhenUsed/>
    <w:rsid w:val="0072229B"/>
    <w:rPr>
      <w:color w:val="467886" w:themeColor="hyperlink"/>
      <w:u w:val="single"/>
    </w:rPr>
  </w:style>
  <w:style w:type="character" w:styleId="UnresolvedMention">
    <w:name w:val="Unresolved Mention"/>
    <w:basedOn w:val="DefaultParagraphFont"/>
    <w:uiPriority w:val="99"/>
    <w:semiHidden/>
    <w:unhideWhenUsed/>
    <w:rsid w:val="0072229B"/>
    <w:rPr>
      <w:color w:val="605E5C"/>
      <w:shd w:val="clear" w:color="auto" w:fill="E1DFDD"/>
    </w:rPr>
  </w:style>
  <w:style w:type="character" w:styleId="FollowedHyperlink">
    <w:name w:val="FollowedHyperlink"/>
    <w:basedOn w:val="DefaultParagraphFont"/>
    <w:uiPriority w:val="99"/>
    <w:semiHidden/>
    <w:unhideWhenUsed/>
    <w:rsid w:val="007222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ark.com/CyberArk-2025-state-of-machine-identity-security-report.pdf" TargetMode="External"/><Relationship Id="rId13" Type="http://schemas.openxmlformats.org/officeDocument/2006/relationships/hyperlink" Target="https://www.microsoft.com/en-us/security/blog/2023/03/30/latest-microsoft-entra-advancements-strengthen-identity-security/" TargetMode="External"/><Relationship Id="rId18" Type="http://schemas.openxmlformats.org/officeDocument/2006/relationships/hyperlink" Target="https://www.justice.gov/atr/file/810276/dl?inlin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loudsecurityalliance.org/artifacts/ccm-v4-0-implementation-guidelines" TargetMode="External"/><Relationship Id="rId12" Type="http://schemas.openxmlformats.org/officeDocument/2006/relationships/hyperlink" Target="https://www.iso.org/standard/43757.html" TargetMode="External"/><Relationship Id="rId17" Type="http://schemas.openxmlformats.org/officeDocument/2006/relationships/hyperlink" Target="https://www.srgresearch.com/articles/q2-cloud-market-nears-100-billion-milestone-and-its-still-growing-by-25-year-over-year" TargetMode="External"/><Relationship Id="rId2" Type="http://schemas.openxmlformats.org/officeDocument/2006/relationships/styles" Target="styles.xml"/><Relationship Id="rId16" Type="http://schemas.openxmlformats.org/officeDocument/2006/relationships/hyperlink" Target="https://news.sophos.com/en-us/2024/04/30/the-state-of-ransomware-2024/" TargetMode="External"/><Relationship Id="rId20" Type="http://schemas.openxmlformats.org/officeDocument/2006/relationships/hyperlink" Target="https://www.crn.com/news/cloud/2025/cloud-market-share-q2-2025-microsoft-dips-aws-still-kingpin" TargetMode="External"/><Relationship Id="rId1" Type="http://schemas.openxmlformats.org/officeDocument/2006/relationships/numbering" Target="numbering.xml"/><Relationship Id="rId6" Type="http://schemas.openxmlformats.org/officeDocument/2006/relationships/hyperlink" Target="https://cloudsecurityalliance.org/artifacts/cloud-controls-matrix-v4" TargetMode="External"/><Relationship Id="rId11" Type="http://schemas.openxmlformats.org/officeDocument/2006/relationships/hyperlink" Target="https://wwwcdn.imo.org/localresources/en/OurWork/Security/Documents/MSC-FAL.1-Circ.3-Rev.3.pdf" TargetMode="External"/><Relationship Id="rId5" Type="http://schemas.openxmlformats.org/officeDocument/2006/relationships/hyperlink" Target="https://www.maritimeglobalsecurity.org/media/g3qlxdaw/2024-11-14-guidelines_on_cyber_security-v5-final.pdf" TargetMode="External"/><Relationship Id="rId15" Type="http://schemas.openxmlformats.org/officeDocument/2006/relationships/hyperlink" Target="https://owasp.org/API-Security/editions/2023/en/0x11-t10/" TargetMode="External"/><Relationship Id="rId10" Type="http://schemas.openxmlformats.org/officeDocument/2006/relationships/hyperlink" Target="https://www.ftc.gov/system/files/ftc_gov/pdf/2023_merger_guidelines_final_12.18.2023.pdf" TargetMode="External"/><Relationship Id="rId19" Type="http://schemas.openxmlformats.org/officeDocument/2006/relationships/hyperlink" Target="https://www.justice.gov/atr/herfindahl-hirschman-index" TargetMode="External"/><Relationship Id="rId4" Type="http://schemas.openxmlformats.org/officeDocument/2006/relationships/webSettings" Target="webSettings.xml"/><Relationship Id="rId9" Type="http://schemas.openxmlformats.org/officeDocument/2006/relationships/hyperlink" Target="https://www.enisa.europa.eu/sites/default/files/publications/ENISA%20Threat%20Landscape%202023.pdf" TargetMode="External"/><Relationship Id="rId14" Type="http://schemas.openxmlformats.org/officeDocument/2006/relationships/hyperlink" Target="https://oic.gov.jm/page/things-you-need-kno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2724</Words>
  <Characters>15528</Characters>
  <Application>Microsoft Office Word</Application>
  <DocSecurity>0</DocSecurity>
  <Lines>129</Lines>
  <Paragraphs>36</Paragraphs>
  <ScaleCrop>false</ScaleCrop>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C. Lim</dc:creator>
  <cp:keywords/>
  <dc:description/>
  <cp:lastModifiedBy>Tyrone C. Lim</cp:lastModifiedBy>
  <cp:revision>3</cp:revision>
  <dcterms:created xsi:type="dcterms:W3CDTF">2025-10-06T21:56:00Z</dcterms:created>
  <dcterms:modified xsi:type="dcterms:W3CDTF">2025-10-06T22:09:00Z</dcterms:modified>
</cp:coreProperties>
</file>