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aps/>
          <w:color w:val="6B6B6B"/>
          <w:spacing w:val="24"/>
          <w:sz w:val="18"/>
          <w:szCs w:val="18"/>
        </w:rPr>
        <w:t xml:space="preserve">Strictly Private &amp; Confidential</w:t>
      </w:r>
    </w:p>
    <w:p>
      <w:pPr>
        <w:spacing w:after="240"/>
      </w:pPr>
      <w:r>
        <w:rPr>
          <w:rFonts w:ascii="Arial" w:cs="Arial" w:eastAsia="Arial" w:hAnsi="Arial"/>
          <w:b/>
          <w:bCs/>
          <w:caps/>
          <w:color w:val="6B6B6B"/>
          <w:spacing w:val="24"/>
          <w:sz w:val="18"/>
          <w:szCs w:val="18"/>
        </w:rPr>
        <w:t xml:space="preserve">NetEase Cloud Music</w:t>
      </w:r>
    </w:p>
    <w:p>
      <w:pPr>
        <w:spacing w:after="120"/>
      </w:pPr>
      <w:r>
        <w:rPr>
          <w:rFonts w:ascii="Georgia" w:cs="Georgia" w:eastAsia="Georgia" w:hAnsi="Georgia"/>
          <w:color w:val="1A1A1A"/>
          <w:sz w:val="60"/>
          <w:szCs w:val="60"/>
        </w:rPr>
        <w:t xml:space="preserve">Exclusive Solo EP</w:t>
      </w:r>
    </w:p>
    <w:p>
      <w:pPr>
        <w:spacing w:after="160"/>
      </w:pPr>
      <w:r>
        <w:rPr>
          <w:rFonts w:ascii="Georgia" w:cs="Georgia" w:eastAsia="Georgia" w:hAnsi="Georgia"/>
          <w:color w:val="1A1A1A"/>
          <w:sz w:val="60"/>
          <w:szCs w:val="60"/>
        </w:rPr>
        <w:t xml:space="preserve">Partnership Proposal</w:t>
      </w:r>
    </w:p>
    <w:p>
      <w:pPr>
        <w:pBdr>
          <w:bottom w:val="single" w:color="6E2A33" w:sz="18" w:space="1"/>
        </w:pBdr>
        <w:spacing w:after="420"/>
      </w:pPr>
      <w:r>
        <w:rPr>
          <w:sz w:val="2"/>
          <w:szCs w:val="2"/>
        </w:rPr>
        <w:t xml:space="preserve"/>
      </w:r>
    </w:p>
    <w:p>
      <w:pPr>
        <w:spacing w:after="160"/>
      </w:pPr>
      <w:r>
        <w:rPr>
          <w:sz w:val="2"/>
          <w:szCs w:val="2"/>
        </w:rPr>
        <w:t xml:space="preserve"/>
      </w:r>
    </w:p>
    <w:tbl>
      <w:tblPr>
        <w:tblW w:type="dxa" w:w="9180"/>
        <w:tblBorders>
          <w:top w:val="single" w:color="DAD6CE" w:sz="4"/>
          <w:left w:val="none" w:color="FFFFFF" w:sz="0"/>
          <w:bottom w:val="single" w:color="DAD6CE" w:sz="4"/>
          <w:right w:val="none" w:color="FFFFFF" w:sz="0"/>
          <w:insideH w:val="single" w:color="DAD6CE" w:sz="4"/>
          <w:insideV w:val="none" w:color="FFFFFF" w:sz="0"/>
        </w:tblBorders>
      </w:tblPr>
      <w:tblGrid>
        <w:gridCol w:w="2400"/>
        <w:gridCol w:w="6780"/>
      </w:tblGrid>
      <w:tr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7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Chou Tzuyu &amp; Representative(s)</w:t>
            </w:r>
          </w:p>
        </w:tc>
      </w:tr>
      <w:tr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NetEase Cloud Music Technology Co., Ltd.</w:t>
            </w:r>
          </w:p>
        </w:tc>
      </w:tr>
      <w:tr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7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Subject</w:t>
            </w:r>
          </w:p>
        </w:tc>
        <w:tc>
          <w:tcPr>
            <w:tcW w:type="dxa" w:w="67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Exclusive Solo EP — China &amp; Global Distribution</w:t>
            </w:r>
          </w:p>
        </w:tc>
      </w:tr>
    </w:tbl>
    <w:p>
      <w:pPr>
        <w:pageBreakBefore/>
      </w:pPr>
      <w:r>
        <w:rPr>
          <w:sz w:val="2"/>
          <w:szCs w:val="2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E2A33"/>
          <w:sz w:val="20"/>
          <w:szCs w:val="20"/>
        </w:rPr>
        <w:t xml:space="preserve">01  </w:t>
      </w: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Production Partnership — Amy Allen</w:t>
      </w:r>
    </w:p>
    <w:p>
      <w:pPr>
        <w:pBdr>
          <w:bottom w:val="single" w:color="DAD6CE" w:sz="4" w:space="1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40" w:line="330" w:lineRule="auto"/>
      </w:pPr>
      <w:r>
        <w:rPr>
          <w:rFonts w:ascii="Georgia" w:cs="Georgia" w:eastAsia="Georgia" w:hAnsi="Georgia"/>
          <w:i/>
          <w:iCs/>
          <w:color w:val="6B6B6B"/>
          <w:sz w:val="22"/>
          <w:szCs w:val="22"/>
        </w:rPr>
        <w:t xml:space="preserve">NetEase funds the full production budget and brings two-time Grammy “Songwriter of the Year” Amy Allen to co-produce the EP’s title track.</w:t>
      </w:r>
    </w:p>
    <w:tbl>
      <w:tblPr>
        <w:tblW w:type="dxa" w:w="9180"/>
        <w:tblBorders>
          <w:top w:val="none" w:color="FFFFFF" w:sz="0"/>
          <w:left w:val="single" w:color="6E2A33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180"/>
      </w:tblGrid>
      <w:tr>
        <w:tc>
          <w:tcPr>
            <w:tcW w:type="dxa" w:w="9180"/>
            <w:shd w:fill="F7F4EF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300" w:lineRule="auto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Production Budget: USD 100,000, funded entirely by NetEase (inclusive of title-track production fee and studio costs).</w:t>
            </w:r>
          </w:p>
          <w:p>
            <w:pPr>
              <w:spacing w:after="70" w:line="300" w:lineRule="auto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Producer: Amy Allen — Grammy Award Winner, Songwriter of the Year 2025 &amp; 2026.</w:t>
            </w:r>
          </w:p>
          <w:p>
            <w:pPr>
              <w:spacing w:after="0" w:line="300" w:lineRule="auto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EP Scope: minimum 4 songs; the title track is co-produced with Amy Allen, subject to her availability and scheduling.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About Amy Allen</w:t>
      </w:r>
    </w:p>
    <w:p>
      <w:pPr>
        <w:spacing w:after="120" w:line="330" w:lineRule="auto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Amy Allen is one of the defining songwriting forces of modern pop. A two-time Grammy winner for Songwriter of the Year (Non-Classical) — the most prestigious individual songwriting honor in the industry — she has co-written some of the most commercially and critically successful songs of the past decade, spanning indie pop, K-pop, and mainstream global hits. Her style is known for emotional precision, melodic inevitability, and cross-cultural appeal.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Grammy Recognition &amp; Career Highlights</w:t>
      </w:r>
    </w:p>
    <w:tbl>
      <w:tblPr>
        <w:tblW w:type="dxa" w:w="9180"/>
        <w:tblBorders>
          <w:top w:val="single" w:color="DAD6CE" w:sz="4"/>
          <w:left w:val="none" w:color="FFFFFF" w:sz="0"/>
          <w:bottom w:val="single" w:color="DAD6CE" w:sz="4"/>
          <w:right w:val="none" w:color="FFFFFF" w:sz="0"/>
          <w:insideH w:val="single" w:color="DAD6CE" w:sz="4"/>
          <w:insideV w:val="none" w:color="FFFFFF" w:sz="0"/>
        </w:tblBorders>
      </w:tblPr>
      <w:tblGrid>
        <w:gridCol w:w="3400"/>
        <w:gridCol w:w="5780"/>
      </w:tblGrid>
      <w:tr>
        <w:trPr>
          <w:tblHeader/>
        </w:trPr>
        <w:tc>
          <w:tcPr>
            <w:tcW w:type="dxa" w:w="340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578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Songwriter of the Year (2026)</w:t>
            </w:r>
          </w:p>
        </w:tc>
        <w:tc>
          <w:tcPr>
            <w:tcW w:type="dxa" w:w="57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2nd consecutive win; nominated for Song of the Year for “APT.” and “Manchild”</w:t>
            </w:r>
          </w:p>
        </w:tc>
      </w:tr>
      <w:tr>
        <w:tc>
          <w:tcPr>
            <w:tcW w:type="dxa" w:w="34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Songwriter of the Year (2025)</w:t>
            </w:r>
          </w:p>
        </w:tc>
        <w:tc>
          <w:tcPr>
            <w:tcW w:type="dxa" w:w="57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woman ever to win the category; first back-to-back winner in its history</w:t>
            </w:r>
          </w:p>
        </w:tc>
      </w:tr>
      <w:tr>
        <w:tc>
          <w:tcPr>
            <w:tcW w:type="dxa" w:w="34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Album of the Year (2023)</w:t>
            </w:r>
          </w:p>
        </w:tc>
        <w:tc>
          <w:tcPr>
            <w:tcW w:type="dxa" w:w="57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Co-writer on Harry Styles’ Harry’s House</w:t>
            </w:r>
          </w:p>
        </w:tc>
      </w:tr>
      <w:tr>
        <w:tc>
          <w:tcPr>
            <w:tcW w:type="dxa" w:w="34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Grammy Nominations</w:t>
            </w:r>
          </w:p>
        </w:tc>
        <w:tc>
          <w:tcPr>
            <w:tcW w:type="dxa" w:w="57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nominations across 4 years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Selected Hits — The Amy Allen Catalog</w:t>
      </w:r>
    </w:p>
    <w:tbl>
      <w:tblPr>
        <w:tblW w:type="dxa" w:w="9180"/>
        <w:tblBorders>
          <w:top w:val="single" w:color="DAD6CE" w:sz="4"/>
          <w:left w:val="none" w:color="FFFFFF" w:sz="0"/>
          <w:bottom w:val="single" w:color="DAD6CE" w:sz="4"/>
          <w:right w:val="none" w:color="FFFFFF" w:sz="0"/>
          <w:insideH w:val="single" w:color="DAD6CE" w:sz="4"/>
          <w:insideV w:val="none" w:color="FFFFFF" w:sz="0"/>
        </w:tblBorders>
      </w:tblPr>
      <w:tblGrid>
        <w:gridCol w:w="2400"/>
        <w:gridCol w:w="2600"/>
        <w:gridCol w:w="4180"/>
      </w:tblGrid>
      <w:tr>
        <w:trPr>
          <w:tblHeader/>
        </w:trPr>
        <w:tc>
          <w:tcPr>
            <w:tcW w:type="dxa" w:w="240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Song</w:t>
            </w:r>
          </w:p>
        </w:tc>
        <w:tc>
          <w:tcPr>
            <w:tcW w:type="dxa" w:w="260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Artist</w:t>
            </w:r>
          </w:p>
        </w:tc>
        <w:tc>
          <w:tcPr>
            <w:tcW w:type="dxa" w:w="418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Espresso</w:t>
            </w:r>
          </w:p>
        </w:tc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Sabrina Carpenter</w:t>
            </w:r>
          </w:p>
        </w:tc>
        <w:tc>
          <w:tcPr>
            <w:tcW w:type="dxa" w:w="41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Song of Summer 2024; global phenomenon</w:t>
            </w:r>
          </w:p>
        </w:tc>
      </w:tr>
      <w:tr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Please Please Please</w:t>
            </w:r>
          </w:p>
        </w:tc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Sabrina Carpenter</w:t>
            </w:r>
          </w:p>
        </w:tc>
        <w:tc>
          <w:tcPr>
            <w:tcW w:type="dxa" w:w="41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No. 1 on Billboard Hot 100</w:t>
            </w:r>
          </w:p>
        </w:tc>
      </w:tr>
      <w:tr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APT.</w:t>
            </w:r>
          </w:p>
        </w:tc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ROSÉ &amp; Bruno Mars</w:t>
            </w:r>
          </w:p>
        </w:tc>
        <w:tc>
          <w:tcPr>
            <w:tcW w:type="dxa" w:w="41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K-pop / global pop crossover; Grammy SOTY nominee</w:t>
            </w:r>
          </w:p>
        </w:tc>
      </w:tr>
      <w:tr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the Ground</w:t>
            </w:r>
          </w:p>
        </w:tc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ROSÉ (BLACKPINK)</w:t>
            </w:r>
          </w:p>
        </w:tc>
        <w:tc>
          <w:tcPr>
            <w:tcW w:type="dxa" w:w="41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ROSÉ’s debut solo hit — K-pop solo precedent</w:t>
            </w:r>
          </w:p>
        </w:tc>
      </w:tr>
      <w:tr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Adore You</w:t>
            </w:r>
          </w:p>
        </w:tc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Harry Styles</w:t>
            </w:r>
          </w:p>
        </w:tc>
        <w:tc>
          <w:tcPr>
            <w:tcW w:type="dxa" w:w="41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smash; multi-platinum</w:t>
            </w:r>
          </w:p>
        </w:tc>
      </w:tr>
      <w:tr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 to You</w:t>
            </w:r>
          </w:p>
        </w:tc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Selena Gomez</w:t>
            </w:r>
          </w:p>
        </w:tc>
        <w:tc>
          <w:tcPr>
            <w:tcW w:type="dxa" w:w="41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 1 billion Spotify streams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Why Amy Allen for Tzuyu</w:t>
      </w:r>
    </w:p>
    <w:p>
      <w:pPr>
        <w:spacing w:after="120" w:line="330" w:lineRule="auto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Allen’s work with ROSÉ on “On the Ground” is proof of concept: she understands how to craft a K-pop solo breakout that resonates globally without compromising the artist’s identity. For NetEase, securing her involvement signals that this EP is built to compete at the highest global level.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Our Production Guarantee</w:t>
      </w:r>
    </w:p>
    <w:p>
      <w:pPr>
        <w:spacing w:after="70" w:line="300" w:lineRule="auto"/>
        <w:ind w:left="360" w:hanging="360"/>
      </w:pPr>
      <w:r>
        <w:rPr>
          <w:rFonts w:ascii="Arial" w:cs="Arial" w:eastAsia="Arial" w:hAnsi="Arial"/>
          <w:b/>
          <w:bCs/>
          <w:color w:val="6E2A33"/>
          <w:sz w:val="22"/>
          <w:szCs w:val="22"/>
        </w:rPr>
        <w:t xml:space="preserve">✓ 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Title track co-written and produced by Amy Allen.</w:t>
      </w:r>
    </w:p>
    <w:p>
      <w:pPr>
        <w:spacing w:after="70" w:line="300" w:lineRule="auto"/>
        <w:ind w:left="360" w:hanging="360"/>
      </w:pPr>
      <w:r>
        <w:rPr>
          <w:rFonts w:ascii="Arial" w:cs="Arial" w:eastAsia="Arial" w:hAnsi="Arial"/>
          <w:b/>
          <w:bCs/>
          <w:color w:val="6E2A33"/>
          <w:sz w:val="22"/>
          <w:szCs w:val="22"/>
        </w:rPr>
        <w:t xml:space="preserve">✓ 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USD 100,000 production budget funded entirely by NetEase.</w:t>
      </w:r>
    </w:p>
    <w:p>
      <w:pPr>
        <w:spacing w:after="70" w:line="300" w:lineRule="auto"/>
        <w:ind w:left="360" w:hanging="360"/>
      </w:pPr>
      <w:r>
        <w:rPr>
          <w:rFonts w:ascii="Arial" w:cs="Arial" w:eastAsia="Arial" w:hAnsi="Arial"/>
          <w:b/>
          <w:bCs/>
          <w:color w:val="6E2A33"/>
          <w:sz w:val="22"/>
          <w:szCs w:val="22"/>
        </w:rPr>
        <w:t xml:space="preserve">✓ 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Studio sessions scheduled in coordination with the Artist’s team.</w:t>
      </w:r>
    </w:p>
    <w:p>
      <w:pPr>
        <w:spacing w:after="70" w:line="300" w:lineRule="auto"/>
        <w:ind w:left="360" w:hanging="360"/>
      </w:pPr>
      <w:r>
        <w:rPr>
          <w:rFonts w:ascii="Arial" w:cs="Arial" w:eastAsia="Arial" w:hAnsi="Arial"/>
          <w:b/>
          <w:bCs/>
          <w:color w:val="6E2A33"/>
          <w:sz w:val="22"/>
          <w:szCs w:val="22"/>
        </w:rPr>
        <w:t xml:space="preserve">✓ 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Creative direction prioritizes Tzuyu’s artistic identity and international audience.</w:t>
      </w:r>
    </w:p>
    <w:p>
      <w:pPr>
        <w:spacing w:after="70" w:line="300" w:lineRule="auto"/>
        <w:ind w:left="360" w:hanging="360"/>
      </w:pPr>
      <w:r>
        <w:rPr>
          <w:rFonts w:ascii="Arial" w:cs="Arial" w:eastAsia="Arial" w:hAnsi="Arial"/>
          <w:b/>
          <w:bCs/>
          <w:color w:val="6E2A33"/>
          <w:sz w:val="22"/>
          <w:szCs w:val="22"/>
        </w:rPr>
        <w:t xml:space="preserve">✓ 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NetEase facilitates introductions and scheduling with Amy Allen’s management.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E2A33"/>
          <w:sz w:val="20"/>
          <w:szCs w:val="20"/>
        </w:rPr>
        <w:t xml:space="preserve">02  </w:t>
      </w: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Marketing &amp; Promotion</w:t>
      </w:r>
    </w:p>
    <w:p>
      <w:pPr>
        <w:pBdr>
          <w:bottom w:val="single" w:color="DAD6CE" w:sz="4" w:space="1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40" w:line="330" w:lineRule="auto"/>
      </w:pPr>
      <w:r>
        <w:rPr>
          <w:rFonts w:ascii="Georgia" w:cs="Georgia" w:eastAsia="Georgia" w:hAnsi="Georgia"/>
          <w:i/>
          <w:iCs/>
          <w:color w:val="6B6B6B"/>
          <w:sz w:val="22"/>
          <w:szCs w:val="22"/>
        </w:rPr>
        <w:t xml:space="preserve">Beyond production, NetEase commits its marketing platform — anchored by a nationwide out-of-home billboard campaign — to launch the EP at scale across China.</w:t>
      </w:r>
    </w:p>
    <w:tbl>
      <w:tblPr>
        <w:tblW w:type="dxa" w:w="9180"/>
        <w:tblBorders>
          <w:top w:val="none" w:color="FFFFFF" w:sz="0"/>
          <w:left w:val="single" w:color="6E2A33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180"/>
      </w:tblGrid>
      <w:tr>
        <w:tc>
          <w:tcPr>
            <w:tcW w:type="dxa" w:w="9180"/>
            <w:shd w:fill="F7F4EF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300" w:lineRule="auto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Out-of-home billboards across up to 30 major Chinese cities — including Beijing, Shanghai, and Guangzhou.</w:t>
            </w:r>
          </w:p>
          <w:p>
            <w:pPr>
              <w:spacing w:after="70" w:line="300" w:lineRule="auto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Per-billboard media value: approximately RMB 150,000 (≈ USD 20,000).</w:t>
            </w:r>
          </w:p>
          <w:p>
            <w:pPr>
              <w:spacing w:after="0" w:line="300" w:lineRule="auto"/>
            </w:pPr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On top of NetEase Cloud Music’s own in-app promotion — editorial features, playlisting, and homepage placement.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Nationwide Billboard Campaign</w:t>
      </w:r>
    </w:p>
    <w:p>
      <w:pPr>
        <w:spacing w:after="120" w:line="330" w:lineRule="auto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NetEase can deploy out-of-home (OOH) billboard advertising across up to 30 major Chinese cities, led by the three top-tier markets — Beijing, Shanghai, and Guangzhou — and extending into further first- and second-tier cities. Each flagship billboard placement carries an indicative media value of approximately RMB 150,000 (≈ USD 20,000), giving the EP high-visibility physical presence in the markets that matter most for a China-first launch.</w:t>
      </w:r>
    </w:p>
    <w:tbl>
      <w:tblPr>
        <w:tblW w:type="dxa" w:w="9180"/>
        <w:tblBorders>
          <w:top w:val="single" w:color="DAD6CE" w:sz="4"/>
          <w:left w:val="none" w:color="FFFFFF" w:sz="0"/>
          <w:bottom w:val="single" w:color="DAD6CE" w:sz="4"/>
          <w:right w:val="none" w:color="FFFFFF" w:sz="0"/>
          <w:insideH w:val="single" w:color="DAD6CE" w:sz="4"/>
          <w:insideV w:val="none" w:color="FFFFFF" w:sz="0"/>
        </w:tblBorders>
      </w:tblPr>
      <w:tblGrid>
        <w:gridCol w:w="2600"/>
        <w:gridCol w:w="4080"/>
        <w:gridCol w:w="2500"/>
      </w:tblGrid>
      <w:tr>
        <w:trPr>
          <w:tblHeader/>
        </w:trPr>
        <w:tc>
          <w:tcPr>
            <w:tcW w:type="dxa" w:w="260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Channel</w:t>
            </w:r>
          </w:p>
        </w:tc>
        <w:tc>
          <w:tcPr>
            <w:tcW w:type="dxa" w:w="408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Scope</w:t>
            </w:r>
          </w:p>
        </w:tc>
        <w:tc>
          <w:tcPr>
            <w:tcW w:type="dxa" w:w="250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Indicative Value</w:t>
            </w:r>
          </w:p>
        </w:tc>
      </w:tr>
      <w:tr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Out-of-home billboards</w:t>
            </w:r>
          </w:p>
        </w:tc>
        <w:tc>
          <w:tcPr>
            <w:tcW w:type="dxa" w:w="40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30 major cities (Beijing, Shanghai, Guangzhou, +)</w:t>
            </w:r>
          </w:p>
        </w:tc>
        <w:tc>
          <w:tcPr>
            <w:tcW w:type="dxa" w:w="25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≈ RMB 150,000 / USD 20,000 per billboard</w:t>
            </w:r>
          </w:p>
        </w:tc>
      </w:tr>
      <w:tr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billboard campaign</w:t>
            </w:r>
          </w:p>
        </w:tc>
        <w:tc>
          <w:tcPr>
            <w:tcW w:type="dxa" w:w="40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30-city flagship coverage</w:t>
            </w:r>
          </w:p>
        </w:tc>
        <w:tc>
          <w:tcPr>
            <w:tcW w:type="dxa" w:w="25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≈ RMB 4.5M / USD 600,000 (indicative)</w:t>
            </w:r>
          </w:p>
        </w:tc>
      </w:tr>
      <w:tr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NetEase Cloud Music in-app</w:t>
            </w:r>
          </w:p>
        </w:tc>
        <w:tc>
          <w:tcPr>
            <w:tcW w:type="dxa" w:w="40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Editorial features, playlists, homepage placement</w:t>
            </w:r>
          </w:p>
        </w:tc>
        <w:tc>
          <w:tcPr>
            <w:tcW w:type="dxa" w:w="25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Included in partnership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r>
        <w:rPr>
          <w:rFonts w:ascii="Georgia" w:cs="Georgia" w:eastAsia="Georgia" w:hAnsi="Georgia"/>
          <w:i/>
          <w:iCs/>
          <w:color w:val="6B6B6B"/>
          <w:sz w:val="20"/>
          <w:szCs w:val="20"/>
        </w:rPr>
        <w:t xml:space="preserve">Billboard figures are indicative media values and depend on final city selection, placement, and campaign timing, to be confirmed in the marketing plan. The 30-city total assumes one flagship billboard per city.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E2A33"/>
          <w:sz w:val="20"/>
          <w:szCs w:val="20"/>
        </w:rPr>
        <w:t xml:space="preserve">03  </w:t>
      </w: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Deal Overview</w:t>
      </w:r>
    </w:p>
    <w:p>
      <w:pPr>
        <w:pBdr>
          <w:bottom w:val="single" w:color="DAD6CE" w:sz="4" w:space="1"/>
        </w:pBdr>
        <w:spacing w:after="140"/>
      </w:pPr>
      <w:r>
        <w:rPr>
          <w:sz w:val="2"/>
          <w:szCs w:val="2"/>
        </w:rPr>
        <w:t xml:space="preserve"/>
      </w:r>
    </w:p>
    <w:tbl>
      <w:tblPr>
        <w:tblW w:type="dxa" w:w="9180"/>
        <w:tblBorders>
          <w:top w:val="single" w:color="DAD6CE" w:sz="4"/>
          <w:left w:val="none" w:color="FFFFFF" w:sz="0"/>
          <w:bottom w:val="single" w:color="DAD6CE" w:sz="4"/>
          <w:right w:val="none" w:color="FFFFFF" w:sz="0"/>
          <w:insideH w:val="single" w:color="DAD6CE" w:sz="4"/>
          <w:insideV w:val="none" w:color="FFFFFF" w:sz="0"/>
        </w:tblBorders>
      </w:tblPr>
      <w:tblGrid>
        <w:gridCol w:w="2700"/>
        <w:gridCol w:w="6480"/>
      </w:tblGrid>
      <w:tr>
        <w:tc>
          <w:tcPr>
            <w:tcW w:type="dxa" w:w="27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4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Extended Play (EP) — minimum 4 songs</w:t>
            </w:r>
          </w:p>
        </w:tc>
      </w:tr>
      <w:tr>
        <w:tc>
          <w:tcPr>
            <w:tcW w:type="dxa" w:w="27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Artist</w:t>
            </w:r>
          </w:p>
        </w:tc>
        <w:tc>
          <w:tcPr>
            <w:tcW w:type="dxa" w:w="64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Chou Tzuyu</w:t>
            </w:r>
          </w:p>
        </w:tc>
      </w:tr>
      <w:tr>
        <w:tc>
          <w:tcPr>
            <w:tcW w:type="dxa" w:w="27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Territory</w:t>
            </w:r>
          </w:p>
        </w:tc>
        <w:tc>
          <w:tcPr>
            <w:tcW w:type="dxa" w:w="64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Mainland China (exclusive) + Global</w:t>
            </w:r>
          </w:p>
        </w:tc>
      </w:tr>
      <w:tr>
        <w:tc>
          <w:tcPr>
            <w:tcW w:type="dxa" w:w="27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Platform Partner</w:t>
            </w:r>
          </w:p>
        </w:tc>
        <w:tc>
          <w:tcPr>
            <w:tcW w:type="dxa" w:w="64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Hangzhou NetEase Cloud Music Technology Co., Ltd.</w:t>
            </w:r>
          </w:p>
        </w:tc>
      </w:tr>
      <w:tr>
        <w:tc>
          <w:tcPr>
            <w:tcW w:type="dxa" w:w="27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China Exclusivity</w:t>
            </w:r>
          </w:p>
        </w:tc>
        <w:tc>
          <w:tcPr>
            <w:tcW w:type="dxa" w:w="64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years from release date, with 2-year right of first renewal</w:t>
            </w:r>
          </w:p>
        </w:tc>
      </w:tr>
      <w:tr>
        <w:tc>
          <w:tcPr>
            <w:tcW w:type="dxa" w:w="27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Recording IP (Master)</w:t>
            </w:r>
          </w:p>
        </w:tc>
        <w:tc>
          <w:tcPr>
            <w:tcW w:type="dxa" w:w="64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Owned by NetEase in Mainland China only; outside China, revenue-share applies (no ownership transfer)</w:t>
            </w:r>
          </w:p>
        </w:tc>
      </w:tr>
      <w:tr>
        <w:tc>
          <w:tcPr>
            <w:tcW w:type="dxa" w:w="27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Production Costs</w:t>
            </w:r>
          </w:p>
        </w:tc>
        <w:tc>
          <w:tcPr>
            <w:tcW w:type="dxa" w:w="64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Covered by NetEase (USD 100,000) — see Section 01</w:t>
            </w:r>
          </w:p>
        </w:tc>
      </w:tr>
      <w:tr>
        <w:tc>
          <w:tcPr>
            <w:tcW w:type="dxa" w:w="27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Marketing Support</w:t>
            </w:r>
          </w:p>
        </w:tc>
        <w:tc>
          <w:tcPr>
            <w:tcW w:type="dxa" w:w="64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Nationwide billboard campaign (up to 30 cities) + NetEase in-app promotion — see Section 02</w:t>
            </w:r>
          </w:p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olor w:val="6E2A33"/>
          <w:sz w:val="20"/>
          <w:szCs w:val="20"/>
        </w:rPr>
        <w:t xml:space="preserve">04  </w:t>
      </w: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Financial Structure — Two Options</w:t>
      </w:r>
    </w:p>
    <w:p>
      <w:pPr>
        <w:pBdr>
          <w:bottom w:val="single" w:color="DAD6CE" w:sz="4" w:space="1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40" w:line="330" w:lineRule="auto"/>
      </w:pPr>
      <w:r>
        <w:rPr>
          <w:rFonts w:ascii="Georgia" w:cs="Georgia" w:eastAsia="Georgia" w:hAnsi="Georgia"/>
          <w:i/>
          <w:iCs/>
          <w:color w:val="6B6B6B"/>
          <w:sz w:val="22"/>
          <w:szCs w:val="22"/>
        </w:rPr>
        <w:t xml:space="preserve">Choose one structure. Both are sound; the better fit depends on how the EP is expected to perform.</w:t>
      </w:r>
    </w:p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single" w:color="6E2A33" w:sz="24"/>
              <w:left w:val="none" w:color="FFFFFF" w:sz="0"/>
              <w:bottom w:val="none" w:color="FFFFFF" w:sz="0"/>
              <w:right w:val="none" w:color="FFFFFF" w:sz="0"/>
            </w:tcBorders>
            <w:shd w:fill="F7F4EF" w:color="auto" w:val="clear"/>
            <w:tcMar>
              <w:top w:type="dxa" w:w="120"/>
              <w:left w:type="dxa" w:w="170"/>
              <w:bottom w:type="dxa" w:w="10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A1A1A"/>
                <w:spacing w:val="18"/>
                <w:sz w:val="18"/>
                <w:szCs w:val="18"/>
              </w:rPr>
              <w:t xml:space="preserve">Option A — Advance Structure</w:t>
            </w:r>
          </w:p>
        </w:tc>
        <w:tc>
          <w:tcPr>
            <w:tcW w:type="dxa" w:w="4590"/>
            <w:tcBorders>
              <w:top w:val="single" w:color="6E2A33" w:sz="24"/>
              <w:left w:val="none" w:color="FFFFFF" w:sz="0"/>
              <w:bottom w:val="none" w:color="FFFFFF" w:sz="0"/>
              <w:right w:val="none" w:color="FFFFFF" w:sz="0"/>
            </w:tcBorders>
            <w:shd w:fill="F7F4EF" w:color="auto" w:val="clear"/>
            <w:tcMar>
              <w:top w:type="dxa" w:w="120"/>
              <w:left w:type="dxa" w:w="170"/>
              <w:bottom w:type="dxa" w:w="10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A1A1A"/>
                <w:spacing w:val="18"/>
                <w:sz w:val="18"/>
                <w:szCs w:val="18"/>
              </w:rPr>
              <w:t xml:space="preserve">Option B — Minimum Guarantee</w:t>
            </w:r>
          </w:p>
        </w:tc>
      </w:tr>
      <w:tr>
        <w:tc>
          <w:tcPr>
            <w:tcW w:type="dxa" w:w="4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70"/>
              <w:bottom w:type="dxa" w:w="40"/>
              <w:right w:type="dxa" w:w="17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6E2A33"/>
                <w:sz w:val="40"/>
                <w:szCs w:val="40"/>
              </w:rPr>
              <w:t xml:space="preserve">$250,000</w:t>
            </w:r>
          </w:p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Recoupable advance</w:t>
            </w:r>
          </w:p>
        </w:tc>
        <w:tc>
          <w:tcPr>
            <w:tcW w:type="dxa" w:w="4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70"/>
              <w:bottom w:type="dxa" w:w="40"/>
              <w:right w:type="dxa" w:w="17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6E2A33"/>
                <w:sz w:val="40"/>
                <w:szCs w:val="40"/>
              </w:rPr>
              <w:t xml:space="preserve">$200,000</w:t>
            </w:r>
          </w:p>
          <w:p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Non-recoupable guarantee</w:t>
            </w:r>
          </w:p>
        </w:tc>
      </w:tr>
      <w:tr>
        <w:tc>
          <w:tcPr>
            <w:tcW w:type="dxa" w:w="4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70"/>
              <w:bottom w:type="dxa" w:w="130"/>
              <w:right w:type="dxa" w:w="170"/>
            </w:tcMar>
          </w:tcPr>
          <w:p>
            <w:pPr>
              <w:spacing w:after="60" w:line="290" w:lineRule="auto"/>
              <w:ind w:left="220" w:hanging="220"/>
            </w:pPr>
            <w:r>
              <w:rPr>
                <w:rFonts w:ascii="Arial" w:cs="Arial" w:eastAsia="Arial" w:hAnsi="Arial"/>
                <w:color w:val="6E2A33"/>
                <w:sz w:val="20"/>
                <w:szCs w:val="20"/>
              </w:rPr>
              <w:t xml:space="preserve">—  </w:t>
            </w: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Advance of USD 250,000, recoupable from royalties.</w:t>
            </w:r>
          </w:p>
          <w:p>
            <w:pPr>
              <w:spacing w:after="60" w:line="290" w:lineRule="auto"/>
              <w:ind w:left="220" w:hanging="220"/>
            </w:pPr>
            <w:r>
              <w:rPr>
                <w:rFonts w:ascii="Arial" w:cs="Arial" w:eastAsia="Arial" w:hAnsi="Arial"/>
                <w:color w:val="6E2A33"/>
                <w:sz w:val="20"/>
                <w:szCs w:val="20"/>
              </w:rPr>
              <w:t xml:space="preserve">—  </w:t>
            </w: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NetEase retains royalties until the advance is recouped.</w:t>
            </w:r>
          </w:p>
          <w:p>
            <w:pPr>
              <w:spacing w:after="60" w:line="290" w:lineRule="auto"/>
              <w:ind w:left="220" w:hanging="220"/>
            </w:pPr>
            <w:r>
              <w:rPr>
                <w:rFonts w:ascii="Arial" w:cs="Arial" w:eastAsia="Arial" w:hAnsi="Arial"/>
                <w:color w:val="6E2A33"/>
                <w:sz w:val="20"/>
                <w:szCs w:val="20"/>
              </w:rPr>
              <w:t xml:space="preserve">—  </w:t>
            </w: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If royalties never recoup, NetEase absorbs the shortfall — the advance is never repaid.</w:t>
            </w:r>
          </w:p>
        </w:tc>
        <w:tc>
          <w:tcPr>
            <w:tcW w:type="dxa" w:w="4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70"/>
              <w:bottom w:type="dxa" w:w="130"/>
              <w:right w:type="dxa" w:w="170"/>
            </w:tcMar>
          </w:tcPr>
          <w:p>
            <w:pPr>
              <w:spacing w:after="60" w:line="290" w:lineRule="auto"/>
              <w:ind w:left="220" w:hanging="220"/>
            </w:pPr>
            <w:r>
              <w:rPr>
                <w:rFonts w:ascii="Arial" w:cs="Arial" w:eastAsia="Arial" w:hAnsi="Arial"/>
                <w:color w:val="6E2A33"/>
                <w:sz w:val="20"/>
                <w:szCs w:val="20"/>
              </w:rPr>
              <w:t xml:space="preserve">—  </w:t>
            </w: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Minimum Guarantee of USD 200,000, non-recoupable.</w:t>
            </w:r>
          </w:p>
          <w:p>
            <w:pPr>
              <w:spacing w:after="60" w:line="290" w:lineRule="auto"/>
              <w:ind w:left="220" w:hanging="220"/>
            </w:pPr>
            <w:r>
              <w:rPr>
                <w:rFonts w:ascii="Arial" w:cs="Arial" w:eastAsia="Arial" w:hAnsi="Arial"/>
                <w:color w:val="6E2A33"/>
                <w:sz w:val="20"/>
                <w:szCs w:val="20"/>
              </w:rPr>
              <w:t xml:space="preserve">—  </w:t>
            </w: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Artist earns royalties from the first stream/sale; the MG is not deducted.</w:t>
            </w:r>
          </w:p>
          <w:p>
            <w:pPr>
              <w:spacing w:after="60" w:line="290" w:lineRule="auto"/>
              <w:ind w:left="220" w:hanging="220"/>
            </w:pPr>
            <w:r>
              <w:rPr>
                <w:rFonts w:ascii="Arial" w:cs="Arial" w:eastAsia="Arial" w:hAnsi="Arial"/>
                <w:color w:val="6E2A33"/>
                <w:sz w:val="20"/>
                <w:szCs w:val="20"/>
              </w:rPr>
              <w:t xml:space="preserve">—  </w:t>
            </w: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>A guaranteed floor regardless of performance.</w:t>
            </w:r>
          </w:p>
        </w:tc>
      </w:tr>
    </w:tbl>
    <w:p>
      <w:pPr>
        <w:pageBreakBefore/>
      </w:pPr>
      <w:r>
        <w:rPr>
          <w:sz w:val="2"/>
          <w:szCs w:val="2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E2A33"/>
          <w:sz w:val="20"/>
          <w:szCs w:val="20"/>
        </w:rPr>
        <w:t xml:space="preserve">05  </w:t>
      </w: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Revenue Share</w:t>
      </w:r>
    </w:p>
    <w:p>
      <w:pPr>
        <w:pBdr>
          <w:bottom w:val="single" w:color="DAD6CE" w:sz="4" w:space="1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40" w:line="330" w:lineRule="auto"/>
      </w:pPr>
      <w:r>
        <w:rPr>
          <w:rFonts w:ascii="Georgia" w:cs="Georgia" w:eastAsia="Georgia" w:hAnsi="Georgia"/>
          <w:i/>
          <w:iCs/>
          <w:color w:val="6B6B6B"/>
          <w:sz w:val="22"/>
          <w:szCs w:val="22"/>
        </w:rPr>
        <w:t xml:space="preserve">Operating costs come off the top first; the remainder is split 50/50. The deduction differs by market and format.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Option A — Advance Structure</w:t>
      </w:r>
    </w:p>
    <w:tbl>
      <w:tblPr>
        <w:tblW w:type="dxa" w:w="9180"/>
        <w:tblBorders>
          <w:top w:val="single" w:color="DAD6CE" w:sz="4"/>
          <w:left w:val="none" w:color="FFFFFF" w:sz="0"/>
          <w:bottom w:val="single" w:color="DAD6CE" w:sz="4"/>
          <w:right w:val="none" w:color="FFFFFF" w:sz="0"/>
          <w:insideH w:val="single" w:color="DAD6CE" w:sz="4"/>
          <w:insideV w:val="none" w:color="FFFFFF" w:sz="0"/>
        </w:tblBorders>
      </w:tblPr>
      <w:tblGrid>
        <w:gridCol w:w="5580"/>
        <w:gridCol w:w="1800"/>
        <w:gridCol w:w="1800"/>
      </w:tblGrid>
      <w:tr>
        <w:trPr>
          <w:tblHeader/>
        </w:trPr>
        <w:tc>
          <w:tcPr>
            <w:tcW w:type="dxa" w:w="558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Revenue Type</w:t>
            </w:r>
          </w:p>
        </w:tc>
        <w:tc>
          <w:tcPr>
            <w:tcW w:type="dxa" w:w="180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Artist</w:t>
            </w:r>
          </w:p>
        </w:tc>
        <w:tc>
          <w:tcPr>
            <w:tcW w:type="dxa" w:w="180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NetEase</w:t>
            </w:r>
          </w:p>
        </w:tc>
      </w:tr>
      <w:tr>
        <w:tc>
          <w:tcPr>
            <w:tcW w:type="dxa" w:w="9180"/>
            <w:gridSpan w:val="3"/>
            <w:shd w:fill="FBFAF7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E2A33"/>
                <w:spacing w:val="16"/>
                <w:sz w:val="18"/>
                <w:szCs w:val="18"/>
              </w:rPr>
              <w:t xml:space="preserve">China — net of 20% operations cost</w:t>
            </w:r>
          </w:p>
        </w:tc>
      </w:tr>
      <w:tr>
        <w:tc>
          <w:tcPr>
            <w:tcW w:type="dxa" w:w="55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Streaming (Subscription)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55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Sync / Licensing (of net)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9180"/>
            <w:gridSpan w:val="3"/>
            <w:shd w:fill="FBFAF7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E2A33"/>
                <w:spacing w:val="16"/>
                <w:sz w:val="18"/>
                <w:szCs w:val="18"/>
              </w:rPr>
              <w:t xml:space="preserve">Global — net of platform operations costs</w:t>
            </w:r>
          </w:p>
        </w:tc>
      </w:tr>
      <w:tr>
        <w:tc>
          <w:tcPr>
            <w:tcW w:type="dxa" w:w="55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Streaming (Spotify, Apple Music, etc.)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55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Sync / Licensing (of net)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9180"/>
            <w:gridSpan w:val="3"/>
            <w:shd w:fill="FBFAF7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E2A33"/>
                <w:spacing w:val="16"/>
                <w:sz w:val="18"/>
                <w:szCs w:val="18"/>
              </w:rPr>
              <w:t xml:space="preserve">Album Sales — China &amp; Global</w:t>
            </w:r>
          </w:p>
        </w:tc>
      </w:tr>
      <w:tr>
        <w:tc>
          <w:tcPr>
            <w:tcW w:type="dxa" w:w="55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Album Sales (net of 20% operations cost)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55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Physical Album Sales (net of 30% operations cost)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Option B — Minimum Guarantee Structure</w:t>
      </w:r>
    </w:p>
    <w:tbl>
      <w:tblPr>
        <w:tblW w:type="dxa" w:w="9180"/>
        <w:tblBorders>
          <w:top w:val="single" w:color="DAD6CE" w:sz="4"/>
          <w:left w:val="none" w:color="FFFFFF" w:sz="0"/>
          <w:bottom w:val="single" w:color="DAD6CE" w:sz="4"/>
          <w:right w:val="none" w:color="FFFFFF" w:sz="0"/>
          <w:insideH w:val="single" w:color="DAD6CE" w:sz="4"/>
          <w:insideV w:val="none" w:color="FFFFFF" w:sz="0"/>
        </w:tblBorders>
      </w:tblPr>
      <w:tblGrid>
        <w:gridCol w:w="5580"/>
        <w:gridCol w:w="1800"/>
        <w:gridCol w:w="1800"/>
      </w:tblGrid>
      <w:tr>
        <w:trPr>
          <w:tblHeader/>
        </w:trPr>
        <w:tc>
          <w:tcPr>
            <w:tcW w:type="dxa" w:w="558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Revenue Type</w:t>
            </w:r>
          </w:p>
        </w:tc>
        <w:tc>
          <w:tcPr>
            <w:tcW w:type="dxa" w:w="180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Artist</w:t>
            </w:r>
          </w:p>
        </w:tc>
        <w:tc>
          <w:tcPr>
            <w:tcW w:type="dxa" w:w="180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NetEase</w:t>
            </w:r>
          </w:p>
        </w:tc>
      </w:tr>
      <w:tr>
        <w:tc>
          <w:tcPr>
            <w:tcW w:type="dxa" w:w="9180"/>
            <w:gridSpan w:val="3"/>
            <w:shd w:fill="FBFAF7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E2A33"/>
                <w:spacing w:val="16"/>
                <w:sz w:val="18"/>
                <w:szCs w:val="18"/>
              </w:rPr>
              <w:t xml:space="preserve">China — net of 20% operations cost</w:t>
            </w:r>
          </w:p>
        </w:tc>
      </w:tr>
      <w:tr>
        <w:tc>
          <w:tcPr>
            <w:tcW w:type="dxa" w:w="55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Streaming (Subscription)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55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Sync / Licensing (of net)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9180"/>
            <w:gridSpan w:val="3"/>
            <w:shd w:fill="FBFAF7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E2A33"/>
                <w:spacing w:val="16"/>
                <w:sz w:val="18"/>
                <w:szCs w:val="18"/>
              </w:rPr>
              <w:t xml:space="preserve">Global — net of platform operations costs</w:t>
            </w:r>
          </w:p>
        </w:tc>
      </w:tr>
      <w:tr>
        <w:tc>
          <w:tcPr>
            <w:tcW w:type="dxa" w:w="55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Streaming (Spotify, Apple Music, etc.)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55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Sync / Licensing (of net)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9180"/>
            <w:gridSpan w:val="3"/>
            <w:shd w:fill="FBFAF7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E2A33"/>
                <w:spacing w:val="16"/>
                <w:sz w:val="18"/>
                <w:szCs w:val="18"/>
              </w:rPr>
              <w:t xml:space="preserve">Album Sales — China &amp; Global</w:t>
            </w:r>
          </w:p>
        </w:tc>
      </w:tr>
      <w:tr>
        <w:tc>
          <w:tcPr>
            <w:tcW w:type="dxa" w:w="55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Album Sales (net of 20% operations cost)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55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Physical Album Sales (net of 30% operations cost)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r>
        <w:rPr>
          <w:rFonts w:ascii="Georgia" w:cs="Georgia" w:eastAsia="Georgia" w:hAnsi="Georgia"/>
          <w:i/>
          <w:iCs/>
          <w:color w:val="6B6B6B"/>
          <w:sz w:val="20"/>
          <w:szCs w:val="20"/>
        </w:rPr>
        <w:t xml:space="preserve">“Operations cost” in China is a flat 20% (30% for physical albums). “Platform operations costs” on global streaming and sync are the actual distribution and DSP fees charged by third-party platforms, deducted before the split. The split is uniform within each option — 50/50 under Option A, 40/60 under Option B.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E2A33"/>
          <w:sz w:val="20"/>
          <w:szCs w:val="20"/>
        </w:rPr>
        <w:t xml:space="preserve">06  </w:t>
      </w: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Key Terms &amp; Conditions</w:t>
      </w:r>
    </w:p>
    <w:p>
      <w:pPr>
        <w:pBdr>
          <w:bottom w:val="single" w:color="DAD6CE" w:sz="4" w:space="1"/>
        </w:pBdr>
        <w:spacing w:after="140"/>
      </w:pPr>
      <w:r>
        <w:rPr>
          <w:sz w:val="2"/>
          <w:szCs w:val="2"/>
        </w:rPr>
        <w:t xml:space="preserve"/>
      </w:r>
    </w:p>
    <w:tbl>
      <w:tblPr>
        <w:tblW w:type="dxa" w:w="9180"/>
        <w:tblBorders>
          <w:top w:val="single" w:color="DAD6CE" w:sz="4"/>
          <w:left w:val="none" w:color="FFFFFF" w:sz="0"/>
          <w:bottom w:val="single" w:color="DAD6CE" w:sz="4"/>
          <w:right w:val="none" w:color="FFFFFF" w:sz="0"/>
          <w:insideH w:val="single" w:color="DAD6CE" w:sz="4"/>
          <w:insideV w:val="none" w:color="FFFFFF" w:sz="0"/>
        </w:tblBorders>
      </w:tblPr>
      <w:tblGrid>
        <w:gridCol w:w="2700"/>
        <w:gridCol w:w="6480"/>
      </w:tblGrid>
      <w:tr>
        <w:tc>
          <w:tcPr>
            <w:tcW w:type="dxa" w:w="27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Exclusivity</w:t>
            </w:r>
          </w:p>
        </w:tc>
        <w:tc>
          <w:tcPr>
            <w:tcW w:type="dxa" w:w="64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years from China release date, plus a 2-year right of first renewal; no competing platforms (Tencent Music, QQ, Kugou, Kuwo) without prior written consent.</w:t>
            </w:r>
          </w:p>
        </w:tc>
      </w:tr>
      <w:tr>
        <w:tc>
          <w:tcPr>
            <w:tcW w:type="dxa" w:w="27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Recording IP (Master)</w:t>
            </w:r>
          </w:p>
        </w:tc>
        <w:tc>
          <w:tcPr>
            <w:tcW w:type="dxa" w:w="64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NetEase owns the master in Mainland China only. Outside China there is no ownership transfer; revenue-share applies (Section 05).</w:t>
            </w:r>
          </w:p>
        </w:tc>
      </w:tr>
      <w:tr>
        <w:tc>
          <w:tcPr>
            <w:tcW w:type="dxa" w:w="27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Operations Costs</w:t>
            </w:r>
          </w:p>
        </w:tc>
        <w:tc>
          <w:tcPr>
            <w:tcW w:type="dxa" w:w="64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Deducted before the revenue split (Section 05): China a flat 20% (physical albums 30%); global streaming and sync net of actual platform/distributor fees.</w:t>
            </w:r>
          </w:p>
        </w:tc>
      </w:tr>
      <w:tr>
        <w:tc>
          <w:tcPr>
            <w:tcW w:type="dxa" w:w="27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Physical Album</w:t>
            </w:r>
          </w:p>
        </w:tc>
        <w:tc>
          <w:tcPr>
            <w:tcW w:type="dxa" w:w="64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Physical album production must include collectible photo cards (one or more per copy), produced as part of the physical album manufacturing.</w:t>
            </w:r>
          </w:p>
        </w:tc>
      </w:tr>
      <w:tr>
        <w:tc>
          <w:tcPr>
            <w:tcW w:type="dxa" w:w="27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Production Budget</w:t>
            </w:r>
          </w:p>
        </w:tc>
        <w:tc>
          <w:tcPr>
            <w:tcW w:type="dxa" w:w="64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USD 100,000 funded by NetEase; inclusive of Amy Allen’s title-track fee and studio costs.</w:t>
            </w:r>
          </w:p>
        </w:tc>
      </w:tr>
      <w:tr>
        <w:tc>
          <w:tcPr>
            <w:tcW w:type="dxa" w:w="27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Governing Law &amp; Disputes</w:t>
            </w:r>
          </w:p>
        </w:tc>
        <w:tc>
          <w:tcPr>
            <w:tcW w:type="dxa" w:w="64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line="280" w:lineRule="auto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Governed by the laws of the People’s Republic of China; disputes resolved by arbitration seated in China.</w:t>
            </w:r>
          </w:p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olor w:val="6E2A33"/>
          <w:sz w:val="20"/>
          <w:szCs w:val="20"/>
        </w:rPr>
        <w:t xml:space="preserve">07  </w:t>
      </w: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Proposed Next Steps</w:t>
      </w:r>
    </w:p>
    <w:p>
      <w:pPr>
        <w:pBdr>
          <w:bottom w:val="single" w:color="DAD6CE" w:sz="4" w:space="1"/>
        </w:pBdr>
        <w:spacing w:after="140"/>
      </w:pPr>
      <w:r>
        <w:rPr>
          <w:sz w:val="2"/>
          <w:szCs w:val="2"/>
        </w:rPr>
        <w:t xml:space="preserve"/>
      </w:r>
    </w:p>
    <w:tbl>
      <w:tblPr>
        <w:tblW w:type="dxa" w:w="9180"/>
        <w:tblBorders>
          <w:top w:val="single" w:color="DAD6CE" w:sz="4"/>
          <w:left w:val="none" w:color="FFFFFF" w:sz="0"/>
          <w:bottom w:val="single" w:color="DAD6CE" w:sz="4"/>
          <w:right w:val="none" w:color="FFFFFF" w:sz="0"/>
          <w:insideH w:val="single" w:color="DAD6CE" w:sz="4"/>
          <w:insideV w:val="none" w:color="FFFFFF" w:sz="0"/>
        </w:tblBorders>
      </w:tblPr>
      <w:tblGrid>
        <w:gridCol w:w="900"/>
        <w:gridCol w:w="6080"/>
        <w:gridCol w:w="2200"/>
      </w:tblGrid>
      <w:tr>
        <w:trPr>
          <w:tblHeader/>
        </w:trPr>
        <w:tc>
          <w:tcPr>
            <w:tcW w:type="dxa" w:w="90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</w:t>
            </w:r>
          </w:p>
        </w:tc>
        <w:tc>
          <w:tcPr>
            <w:tcW w:type="dxa" w:w="608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F7F4E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9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0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proposal and select preferred deal structure (Option A or B)</w:t>
            </w:r>
          </w:p>
        </w:tc>
        <w:tc>
          <w:tcPr>
            <w:tcW w:type="dxa" w:w="22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Artist’s Team</w:t>
            </w:r>
          </w:p>
        </w:tc>
      </w:tr>
      <w:tr>
        <w:tc>
          <w:tcPr>
            <w:tcW w:type="dxa" w:w="9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0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Introductory call / meeting with NetEase Business Team</w:t>
            </w:r>
          </w:p>
        </w:tc>
        <w:tc>
          <w:tcPr>
            <w:tcW w:type="dxa" w:w="22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Parties</w:t>
            </w:r>
          </w:p>
        </w:tc>
      </w:tr>
      <w:tr>
        <w:tc>
          <w:tcPr>
            <w:tcW w:type="dxa" w:w="9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0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 review and term negotiation</w:t>
            </w:r>
          </w:p>
        </w:tc>
        <w:tc>
          <w:tcPr>
            <w:tcW w:type="dxa" w:w="22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Legal Teams</w:t>
            </w:r>
          </w:p>
        </w:tc>
      </w:tr>
      <w:tr>
        <w:tc>
          <w:tcPr>
            <w:tcW w:type="dxa" w:w="9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0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Amy Allen scheduling &amp; studio coordination</w:t>
            </w:r>
          </w:p>
        </w:tc>
        <w:tc>
          <w:tcPr>
            <w:tcW w:type="dxa" w:w="22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NetEase + Artist</w:t>
            </w:r>
          </w:p>
        </w:tc>
      </w:tr>
      <w:tr>
        <w:tc>
          <w:tcPr>
            <w:tcW w:type="dxa" w:w="9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08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Agreement execution and project kickoff</w:t>
            </w:r>
          </w:p>
        </w:tc>
        <w:tc>
          <w:tcPr>
            <w:tcW w:type="dxa" w:w="2200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Parties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p>
      <w:r>
        <w:rPr>
          <w:rFonts w:ascii="Georgia" w:cs="Georgia" w:eastAsia="Georgia" w:hAnsi="Georgia"/>
          <w:i/>
          <w:iCs/>
          <w:color w:val="6B6B6B"/>
          <w:sz w:val="20"/>
          <w:szCs w:val="20"/>
        </w:rPr>
        <w:t xml:space="preserve">This proposal is strictly confidential and intended solely for the named recipient. All figures are indicative and subject to final negotiation and legal documentation.</w:t>
      </w:r>
    </w:p>
    <w:sectPr>
      <w:footerReference w:type="default" r:id="rId7"/>
      <w:pgSz w:w="11906" w:h="16838" w:orient="portrait"/>
      <w:pgMar w:top="1588" w:right="1361" w:bottom="1440" w:left="136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6CE" w:sz="4" w:space="6"/>
      </w:pBdr>
      <w:tabs>
        <w:tab w:val="right" w:pos="9180"/>
      </w:tabs>
    </w:pPr>
    <w:r>
      <w:rPr>
        <w:rFonts w:ascii="Arial" w:cs="Arial" w:eastAsia="Arial" w:hAnsi="Arial"/>
        <w:color w:val="6B6B6B"/>
        <w:sz w:val="16"/>
        <w:szCs w:val="16"/>
      </w:rPr>
      <w:t xml:space="preserve">Strictly Private &amp;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2026-06-25T13:35:32.482Z</dcterms:created>
  <dcterms:modified xsi:type="dcterms:W3CDTF">2026-06-25T13:35:32.485Z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