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A5F"/>
          <w:sz w:val="48"/>
          <w:szCs w:val="48"/>
        </w:rPr>
        <w:t xml:space="preserve">AI Use Impact Tracker</w:t>
      </w:r>
    </w:p>
    <w:p>
      <w:pPr>
        <w:spacing w:after="80"/>
        <w:jc w:val="center"/>
      </w:pPr>
      <w:r>
        <w:rPr>
          <w:color w:val="2E5C8A"/>
          <w:sz w:val="28"/>
          <w:szCs w:val="28"/>
        </w:rPr>
        <w:t xml:space="preserve">Phase 1 — High-Level Scoping &amp; Data Assessment</w:t>
      </w:r>
    </w:p>
    <w:p>
      <w:pPr>
        <w:spacing w:after="320"/>
        <w:jc w:val="center"/>
      </w:pPr>
      <w:r>
        <w:rPr>
          <w:i/>
          <w:iCs/>
          <w:color w:val="666666"/>
          <w:sz w:val="20"/>
          <w:szCs w:val="20"/>
        </w:rPr>
        <w:t xml:space="preserve">Prepared for Jerzy Bala, Chief Data Scientist, Sapien Labs  •  14 April 2026</w:t>
      </w:r>
    </w:p>
    <w:p>
      <w:pPr>
        <w:pStyle w:val="Heading1"/>
        <w:spacing w:after="120" w:before="240"/>
      </w:pPr>
      <w:r>
        <w:rPr>
          <w:b/>
          <w:bCs/>
        </w:rPr>
        <w:t xml:space="preserve">1. Executive Summary</w:t>
      </w:r>
    </w:p>
    <w:p>
      <w:pPr>
        <w:spacing w:after="120"/>
      </w:pPr>
      <w:r>
        <w:t xml:space="preserve">This document captures a Phase 1 assessment of the Global Mind Project (GMP) data extract intended to power an AI Use Impact Tracker. The tracker will monitor how the frequency of AI assistant use (ai_freq) relates to self-reported impact on work (ai_impact_work), stratified by country, gender, and age group, and refreshed on a monthly cadence. This document describes the source data, the structural characteristics of the two focal columns, the data-quality issues that must be resolved before reporting, the proposed metric set, the dashboard architecture, and the deliverables expected at the close of Phase 1.</w:t>
      </w:r>
    </w:p>
    <w:p>
      <w:pPr>
        <w:pStyle w:val="Heading1"/>
        <w:spacing w:after="120" w:before="240"/>
      </w:pPr>
      <w:r>
        <w:rPr>
          <w:b/>
          <w:bCs/>
        </w:rPr>
        <w:t xml:space="preserve">2. Source Data Overview</w:t>
      </w:r>
    </w:p>
    <w:p>
      <w:pPr>
        <w:spacing w:after="120"/>
      </w:pPr>
      <w:r>
        <w:t xml:space="preserve">The working dataset is SAMPLE DATA.xlsx, a single-sheet extract drawn from the GMP survey platform. Basic volumetrics and coverage are summarized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4"/>
              <w:left w:val="single" w:color="BFBFBF" w:sz="4"/>
              <w:bottom w:val="single" w:color="BFBFBF" w:sz="4"/>
              <w:right w:val="single" w:color="BFBFBF" w:sz="4"/>
            </w:tcBorders>
            <w:shd w:fill="E8EEF4" w:val="clear"/>
            <w:tcMar>
              <w:top w:type="dxa" w:w="80"/>
              <w:left w:type="dxa" w:w="120"/>
              <w:bottom w:type="dxa" w:w="80"/>
              <w:right w:type="dxa" w:w="120"/>
            </w:tcMar>
          </w:tcPr>
          <w:p>
            <w:r>
              <w:rPr>
                <w:b/>
                <w:bCs/>
              </w:rPr>
              <w:t xml:space="preserve">Property</w:t>
            </w:r>
          </w:p>
        </w:tc>
        <w:tc>
          <w:tcPr>
            <w:tcW w:type="dxa" w:w="6160"/>
            <w:tcBorders>
              <w:top w:val="single" w:color="BFBFBF" w:sz="4"/>
              <w:left w:val="single" w:color="BFBFBF" w:sz="4"/>
              <w:bottom w:val="single" w:color="BFBFBF" w:sz="4"/>
              <w:right w:val="single" w:color="BFBFBF" w:sz="4"/>
            </w:tcBorders>
            <w:shd w:fill="E8EEF4" w:val="clear"/>
            <w:tcMar>
              <w:top w:type="dxa" w:w="80"/>
              <w:left w:type="dxa" w:w="120"/>
              <w:bottom w:type="dxa" w:w="80"/>
              <w:right w:type="dxa" w:w="120"/>
            </w:tcMar>
          </w:tcPr>
          <w:p>
            <w:r>
              <w:rPr>
                <w:b/>
                <w:bCs/>
              </w:rPr>
              <w:t xml:space="preserve">Value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Rows (respondents)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75,404</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Columns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204</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Time range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January – April 2026 (4 months)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Monthly volume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 16,000 – 24,000 responses per month</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Languages present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English, Spanish, French, Hindi (mixed within columns)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Top countries (by 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Egypt 6.7k, Algeria 5.4k, India 4.9k, Venezuela 4.2k, Argentina 3.8k</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Focal exposure column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ai_freq (7-level ordinal)</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Focal outcome column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ai_impact_work (multi-select, pipe-delimited)</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Stratifiers available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country, gender, biological_sex, gender_identity, age</w:t>
            </w:r>
          </w:p>
        </w:tc>
      </w:tr>
    </w:tbl>
    <w:p>
      <w:pPr>
        <w:pStyle w:val="Heading1"/>
        <w:spacing w:after="120" w:before="240"/>
      </w:pPr>
      <w:r>
        <w:rPr>
          <w:b/>
          <w:bCs/>
        </w:rPr>
        <w:t xml:space="preserve">3. Structure of the Focal Columns</w:t>
      </w:r>
    </w:p>
    <w:p>
      <w:pPr>
        <w:pStyle w:val="Heading2"/>
        <w:spacing w:after="120" w:before="240"/>
      </w:pPr>
      <w:r>
        <w:rPr>
          <w:b/>
          <w:bCs/>
        </w:rPr>
        <w:t xml:space="preserve">3.1  ai_freq (exposure)</w:t>
      </w:r>
    </w:p>
    <w:p>
      <w:pPr>
        <w:spacing w:after="120"/>
      </w:pPr>
      <w:r>
        <w:t xml:space="preserve">The ai_freq column is a clean 7-level ordinal scale suitable for dose-response modelling once mapped to integers. The observed distribution across the 75,404 rows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280"/>
        <w:gridCol w:w="2280"/>
      </w:tblGrid>
      <w:tr>
        <w:tc>
          <w:tcPr>
            <w:tcW w:type="dxa" w:w="4800"/>
            <w:tcBorders>
              <w:top w:val="single" w:color="BFBFBF" w:sz="4"/>
              <w:left w:val="single" w:color="BFBFBF" w:sz="4"/>
              <w:bottom w:val="single" w:color="BFBFBF" w:sz="4"/>
              <w:right w:val="single" w:color="BFBFBF" w:sz="4"/>
            </w:tcBorders>
            <w:shd w:fill="E8EEF4" w:val="clear"/>
            <w:tcMar>
              <w:top w:type="dxa" w:w="80"/>
              <w:left w:type="dxa" w:w="120"/>
              <w:bottom w:type="dxa" w:w="80"/>
              <w:right w:type="dxa" w:w="120"/>
            </w:tcMar>
          </w:tcPr>
          <w:p>
            <w:r>
              <w:rPr>
                <w:b/>
                <w:bCs/>
              </w:rPr>
              <w:t xml:space="preserve">Level (ordered)</w:t>
            </w:r>
          </w:p>
        </w:tc>
        <w:tc>
          <w:tcPr>
            <w:tcW w:type="dxa" w:w="2280"/>
            <w:tcBorders>
              <w:top w:val="single" w:color="BFBFBF" w:sz="4"/>
              <w:left w:val="single" w:color="BFBFBF" w:sz="4"/>
              <w:bottom w:val="single" w:color="BFBFBF" w:sz="4"/>
              <w:right w:val="single" w:color="BFBFBF" w:sz="4"/>
            </w:tcBorders>
            <w:shd w:fill="E8EEF4" w:val="clear"/>
            <w:tcMar>
              <w:top w:type="dxa" w:w="80"/>
              <w:left w:type="dxa" w:w="120"/>
              <w:bottom w:type="dxa" w:w="80"/>
              <w:right w:type="dxa" w:w="120"/>
            </w:tcMar>
          </w:tcPr>
          <w:p>
            <w:r>
              <w:rPr>
                <w:b/>
                <w:bCs/>
              </w:rPr>
              <w:t xml:space="preserve">Count</w:t>
            </w:r>
          </w:p>
        </w:tc>
        <w:tc>
          <w:tcPr>
            <w:tcW w:type="dxa" w:w="2280"/>
            <w:tcBorders>
              <w:top w:val="single" w:color="BFBFBF" w:sz="4"/>
              <w:left w:val="single" w:color="BFBFBF" w:sz="4"/>
              <w:bottom w:val="single" w:color="BFBFBF" w:sz="4"/>
              <w:right w:val="single" w:color="BFBFBF" w:sz="4"/>
            </w:tcBorders>
            <w:shd w:fill="E8EEF4" w:val="clear"/>
            <w:tcMar>
              <w:top w:type="dxa" w:w="80"/>
              <w:left w:type="dxa" w:w="120"/>
              <w:bottom w:type="dxa" w:w="80"/>
              <w:right w:type="dxa" w:w="120"/>
            </w:tcMar>
          </w:tcPr>
          <w:p>
            <w:r>
              <w:rPr>
                <w:b/>
                <w:bCs/>
              </w:rPr>
              <w:t xml:space="preserve">Share</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 have never used an AI assistant</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20,625</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27.4%</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Rarely</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18,986</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25.2%</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 few times a month</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7,666</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10.2%</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Several days a week</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12,333</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16.4%</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Several times a day</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8,256</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10.9%</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Constantly</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5,560</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7.4%</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All of the time</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1,640</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2.2%</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Untranslated / N/A</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338</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0.4%</w:t>
            </w:r>
          </w:p>
        </w:tc>
      </w:tr>
    </w:tbl>
    <w:p>
      <w:pPr>
        <w:spacing w:after="120"/>
      </w:pPr>
      <w:r>
        <w:t xml:space="preserve">Roughly 37% of the sample uses AI at least several days a week, and 27% have never used an AI assistant — a meaningful non-user comparison group. A small number of rows contain untranslated labels ("Constamment", "Constantly (when awake)") that must be canonicalised to the base 7 levels.</w:t>
      </w:r>
    </w:p>
    <w:p>
      <w:pPr>
        <w:pStyle w:val="Heading2"/>
        <w:spacing w:after="120" w:before="240"/>
      </w:pPr>
      <w:r>
        <w:rPr>
          <w:b/>
          <w:bCs/>
        </w:rPr>
        <w:t xml:space="preserve">3.2  ai_impact_work (outcome)</w:t>
      </w:r>
    </w:p>
    <w:p>
      <w:pPr>
        <w:spacing w:after="120"/>
      </w:pPr>
      <w:r>
        <w:t xml:space="preserve">ai_impact_work is not a single scalar. It is a multi-select field where respondents can choose any combination of the atomic impact options, delimited with the pipe character. The extract contains 329 unique string combinations. The atomic options appear to be:</w:t>
      </w:r>
    </w:p>
    <w:p>
      <w:pPr>
        <w:pStyle w:val="ListParagraph"/>
        <w:numPr>
          <w:ilvl w:val="0"/>
          <w:numId w:val="2"/>
        </w:numPr>
        <w:spacing w:after="80"/>
      </w:pPr>
      <w:r>
        <w:t xml:space="preserve">No impact</w:t>
      </w:r>
    </w:p>
    <w:p>
      <w:pPr>
        <w:pStyle w:val="ListParagraph"/>
        <w:numPr>
          <w:ilvl w:val="0"/>
          <w:numId w:val="2"/>
        </w:numPr>
        <w:spacing w:after="80"/>
      </w:pPr>
      <w:r>
        <w:t xml:space="preserve">Improved my work quality or output</w:t>
      </w:r>
    </w:p>
    <w:p>
      <w:pPr>
        <w:pStyle w:val="ListParagraph"/>
        <w:numPr>
          <w:ilvl w:val="0"/>
          <w:numId w:val="2"/>
        </w:numPr>
        <w:spacing w:after="80"/>
      </w:pPr>
      <w:r>
        <w:t xml:space="preserve">Created new job or income opportunities</w:t>
      </w:r>
    </w:p>
    <w:p>
      <w:pPr>
        <w:pStyle w:val="ListParagraph"/>
        <w:numPr>
          <w:ilvl w:val="0"/>
          <w:numId w:val="2"/>
        </w:numPr>
        <w:spacing w:after="80"/>
      </w:pPr>
      <w:r>
        <w:t xml:space="preserve">Increased pressure to adapt or work faster</w:t>
      </w:r>
    </w:p>
    <w:p>
      <w:pPr>
        <w:pStyle w:val="ListParagraph"/>
        <w:numPr>
          <w:ilvl w:val="0"/>
          <w:numId w:val="2"/>
        </w:numPr>
        <w:spacing w:after="80"/>
      </w:pPr>
      <w:r>
        <w:t xml:space="preserve">Made me worry about the future of my job or industry</w:t>
      </w:r>
    </w:p>
    <w:p>
      <w:pPr>
        <w:pStyle w:val="ListParagraph"/>
        <w:numPr>
          <w:ilvl w:val="0"/>
          <w:numId w:val="2"/>
        </w:numPr>
        <w:spacing w:after="80"/>
      </w:pPr>
      <w:r>
        <w:t xml:space="preserve">Another impact not listed here</w:t>
      </w:r>
    </w:p>
    <w:p>
      <w:pPr>
        <w:pStyle w:val="ListParagraph"/>
        <w:numPr>
          <w:ilvl w:val="0"/>
          <w:numId w:val="2"/>
        </w:numPr>
        <w:spacing w:after="80"/>
      </w:pPr>
      <w:r>
        <w:t xml:space="preserve">Not sure</w:t>
      </w:r>
    </w:p>
    <w:p>
      <w:pPr>
        <w:spacing w:after="120"/>
      </w:pPr>
      <w:r>
        <w:t xml:space="preserve">This structural fact is the single most important design constraint for the tracker: because respondents can simultaneously report a positive impact (e.g. "Improved my work quality") and a negative one (e.g. "Made me worry about the future of my job"), there is no meaningful single-dimensional impact score derived directly from the raw field. The tracker must represent the outcome as a vector of binary flags and then construct composite indicators on top.</w:t>
      </w:r>
    </w:p>
    <w:p>
      <w:pPr>
        <w:pStyle w:val="Heading1"/>
        <w:spacing w:after="120" w:before="240"/>
      </w:pPr>
      <w:r>
        <w:rPr>
          <w:b/>
          <w:bCs/>
        </w:rPr>
        <w:t xml:space="preserve">4. Data-Quality Issues to Resolve</w:t>
      </w:r>
    </w:p>
    <w:p>
      <w:pPr>
        <w:spacing w:after="120"/>
      </w:pPr>
      <w:r>
        <w:t xml:space="preserve">Four issues must be addressed in the cleaning layer before any aggregation is performed:</w:t>
      </w:r>
    </w:p>
    <w:p>
      <w:pPr>
        <w:spacing w:after="120"/>
      </w:pPr>
      <w:r>
        <w:rPr>
          <w:b/>
          <w:bCs/>
        </w:rPr>
        <w:t xml:space="preserve">Multilingual contamination. </w:t>
      </w:r>
      <w:r>
        <w:t xml:space="preserve">Both ai_freq and ai_impact_work contain Spanish, French, and other language fragments embedded in otherwise-English columns (e.g. "Constamment", "No estoy seguro/a"). Country names also appear in non-Latin scripts (e.g. Hindi rendering of "India"). A normalisation dictionary is required.</w:t>
      </w:r>
    </w:p>
    <w:p>
      <w:pPr>
        <w:spacing w:after="120"/>
      </w:pPr>
      <w:r>
        <w:rPr>
          <w:b/>
          <w:bCs/>
        </w:rPr>
        <w:t xml:space="preserve">Inconsistent age coding. </w:t>
      </w:r>
      <w:r>
        <w:t xml:space="preserve">The age column is mixed: younger respondents (18, 19, 20) are captured as raw integers, while older respondents are captured in ordinal bands ("25-34", "35-44", "55-64", etc.). All values must be harmonised to a common banding scheme before stratified reporting.</w:t>
      </w:r>
    </w:p>
    <w:p>
      <w:pPr>
        <w:spacing w:after="120"/>
      </w:pPr>
      <w:r>
        <w:rPr>
          <w:b/>
          <w:bCs/>
        </w:rPr>
        <w:t xml:space="preserve">Ambiguous N/A semantics. </w:t>
      </w:r>
      <w:r>
        <w:t xml:space="preserve">Approximately 27% of ai_impact_work values are "N/A". This likely conflates "respondent does not use AI" with "respondent is not in employment" with "missing data". The tracker must distinguish these cases, typically by conditioning on ai_freq and employment status before interpreting an N/A.</w:t>
      </w:r>
    </w:p>
    <w:p>
      <w:pPr>
        <w:spacing w:after="120"/>
      </w:pPr>
      <w:r>
        <w:rPr>
          <w:b/>
          <w:bCs/>
        </w:rPr>
        <w:t xml:space="preserve">Country-cell sparsity. </w:t>
      </w:r>
      <w:r>
        <w:t xml:space="preserve">Country × gender × age-band cells will be thin outside the top 10–15 countries. The tracker must enforce a minimum-N rule (suggested floor: 50 respondents per cell per month) and suppress or pool under-represented cells rather than reporting unstable estimates.</w:t>
      </w:r>
    </w:p>
    <w:p>
      <w:pPr>
        <w:pStyle w:val="Heading1"/>
        <w:spacing w:after="120" w:before="240"/>
      </w:pPr>
      <w:r>
        <w:rPr>
          <w:b/>
          <w:bCs/>
        </w:rPr>
        <w:t xml:space="preserve">5. Proposed Metric Layer</w:t>
      </w:r>
    </w:p>
    <w:p>
      <w:pPr>
        <w:spacing w:after="120"/>
      </w:pPr>
      <w:r>
        <w:t xml:space="preserve">To reconcile the multi-select outcome with the need for a trendable KPI, the metric layer will expose three tiers of indicators. Tier one is a set of seven binary indicators — one per atomic impact category — each reported as a share of respondents within the stratum. Tier two is two composite shares: a positive-impact share (union of "Improved work quality" and "New opportunities") and a negative-impact share (union of "Job anxiety" and "Adaptation pressure"). Tier three is a single headline KPI, the Net Impact Index, defined as positive-impact share minus negative-impact share, which can range from −1 to +1 and is stable for month-over-month trending.</w:t>
      </w:r>
    </w:p>
    <w:p>
      <w:pPr>
        <w:spacing w:after="120"/>
      </w:pPr>
      <w:r>
        <w:t xml:space="preserve">Alongside the outcome indicators, the tracker will report AI adoption rate (share reporting any non-zero ai_freq), the full frequency distribution, and a dose-response summary: mean Net Impact Index plotted against ai_freq level within each stratum. Confidence intervals will be computed per metric using standard survey-weighted formulas, and the minimum-N suppression rule will be applied uniformly across the dashboard.</w:t>
      </w:r>
    </w:p>
    <w:p>
      <w:pPr>
        <w:pStyle w:val="Heading1"/>
        <w:spacing w:after="120" w:before="240"/>
      </w:pPr>
      <w:r>
        <w:rPr>
          <w:b/>
          <w:bCs/>
        </w:rPr>
        <w:t xml:space="preserve">6. Dashboard Architecture</w:t>
      </w:r>
    </w:p>
    <w:p>
      <w:pPr>
        <w:spacing w:after="120"/>
      </w:pPr>
      <w:r>
        <w:t xml:space="preserve">The tracker is designed as three decoupled layers so each can be tested and evolved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360"/>
      </w:tblGrid>
      <w:tr>
        <w:tc>
          <w:tcPr>
            <w:tcW w:type="dxa" w:w="1800"/>
            <w:tcBorders>
              <w:top w:val="single" w:color="BFBFBF" w:sz="4"/>
              <w:left w:val="single" w:color="BFBFBF" w:sz="4"/>
              <w:bottom w:val="single" w:color="BFBFBF" w:sz="4"/>
              <w:right w:val="single" w:color="BFBFBF" w:sz="4"/>
            </w:tcBorders>
            <w:shd w:fill="E8EEF4" w:val="clear"/>
            <w:tcMar>
              <w:top w:type="dxa" w:w="80"/>
              <w:left w:type="dxa" w:w="120"/>
              <w:bottom w:type="dxa" w:w="80"/>
              <w:right w:type="dxa" w:w="120"/>
            </w:tcMar>
          </w:tcPr>
          <w:p>
            <w:r>
              <w:rPr>
                <w:b/>
                <w:bCs/>
              </w:rPr>
              <w:t xml:space="preserve">Layer</w:t>
            </w:r>
          </w:p>
        </w:tc>
        <w:tc>
          <w:tcPr>
            <w:tcW w:type="dxa" w:w="5200"/>
            <w:tcBorders>
              <w:top w:val="single" w:color="BFBFBF" w:sz="4"/>
              <w:left w:val="single" w:color="BFBFBF" w:sz="4"/>
              <w:bottom w:val="single" w:color="BFBFBF" w:sz="4"/>
              <w:right w:val="single" w:color="BFBFBF" w:sz="4"/>
            </w:tcBorders>
            <w:shd w:fill="E8EEF4" w:val="clear"/>
            <w:tcMar>
              <w:top w:type="dxa" w:w="80"/>
              <w:left w:type="dxa" w:w="120"/>
              <w:bottom w:type="dxa" w:w="80"/>
              <w:right w:type="dxa" w:w="120"/>
            </w:tcMar>
          </w:tcPr>
          <w:p>
            <w:r>
              <w:rPr>
                <w:b/>
                <w:bCs/>
              </w:rPr>
              <w:t xml:space="preserve">Responsibility</w:t>
            </w:r>
          </w:p>
        </w:tc>
        <w:tc>
          <w:tcPr>
            <w:tcW w:type="dxa" w:w="2360"/>
            <w:tcBorders>
              <w:top w:val="single" w:color="BFBFBF" w:sz="4"/>
              <w:left w:val="single" w:color="BFBFBF" w:sz="4"/>
              <w:bottom w:val="single" w:color="BFBFBF" w:sz="4"/>
              <w:right w:val="single" w:color="BFBFBF" w:sz="4"/>
            </w:tcBorders>
            <w:shd w:fill="E8EEF4" w:val="clear"/>
            <w:tcMar>
              <w:top w:type="dxa" w:w="80"/>
              <w:left w:type="dxa" w:w="120"/>
              <w:bottom w:type="dxa" w:w="80"/>
              <w:right w:type="dxa" w:w="120"/>
            </w:tcMar>
          </w:tcPr>
          <w:p>
            <w:r>
              <w:rPr>
                <w:b/>
                <w:bCs/>
              </w:rPr>
              <w:t xml:space="preserve">Proposed Technology</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Data layer</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Monthly ingest, language normalisation, age harmonisation, pipe-delimited parsing, tidy long-format emission at (respondent × month × stratifiers) grain.</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Python (pandas / Polars)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Metric layer</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Aggregated indicators per stratum per month with CIs, min-N suppression, and a rolling baseline for change-detection.</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DuckDB on Parquet</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Presentation layer</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Interactive dashboard with global time series, country small-multiples, stratum drill-downs, and a 'what changed this month' anomaly panel.</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Streamlit or Plotly Dash (prototype); Power BI or Tableau (stakeholder-facing v2)</w:t>
            </w:r>
          </w:p>
        </w:tc>
      </w:tr>
    </w:tbl>
    <w:p>
      <w:pPr>
        <w:pStyle w:val="Heading1"/>
        <w:spacing w:after="120" w:before="240"/>
      </w:pPr>
      <w:r>
        <w:rPr>
          <w:b/>
          <w:bCs/>
        </w:rPr>
        <w:t xml:space="preserve">7. Methodological Considerations</w:t>
      </w:r>
    </w:p>
    <w:p>
      <w:pPr>
        <w:spacing w:after="120"/>
      </w:pPr>
      <w:r>
        <w:t xml:space="preserve">Three methodological cautions apply regardless of implementation choices. First, because AI use is self-selected, any observed association between ai_freq and ai_impact_work should be interpreted descriptively unless adjusted for confounders (propensity weighting or at minimum a covariate-stratified view is recommended for any causal reading). Second, monthly trends in a stratum can shift because the composition of respondents changed, not because attitudes changed; a Oaxaca-style decomposition or demographic re-weighting should be used whenever a month-over-month shift is reported as material. Third, because ai_impact_work is ordinal in sentiment but categorical in encoding, the full distribution (not only the mean Net Impact Index) should always be available one click away in the dashboard.</w:t>
      </w:r>
    </w:p>
    <w:p>
      <w:pPr>
        <w:pStyle w:val="Heading1"/>
        <w:spacing w:after="120" w:before="240"/>
      </w:pPr>
      <w:r>
        <w:rPr>
          <w:b/>
          <w:bCs/>
        </w:rPr>
        <w:t xml:space="preserve">8. Phase 1 Deliverables</w:t>
      </w:r>
    </w:p>
    <w:p>
      <w:pPr>
        <w:spacing w:after="120"/>
      </w:pPr>
      <w:r>
        <w:t xml:space="preserve">The following artifacts close Phase 1 and establish the foundation for Phase 2 (causal modelling and anomaly detection).</w:t>
      </w:r>
    </w:p>
    <w:p>
      <w:pPr>
        <w:pStyle w:val="ListParagraph"/>
        <w:numPr>
          <w:ilvl w:val="0"/>
          <w:numId w:val="2"/>
        </w:numPr>
        <w:spacing w:after="80"/>
      </w:pPr>
      <w:r>
        <w:rPr>
          <w:b/>
          <w:bCs/>
        </w:rPr>
        <w:t xml:space="preserve">Data profile report: </w:t>
      </w:r>
      <w:r>
        <w:t xml:space="preserve">completeness, value ranges, and cell-size diagnostics for ai_freq, ai_impact_work, and all stratifiers.</w:t>
      </w:r>
    </w:p>
    <w:p>
      <w:pPr>
        <w:pStyle w:val="ListParagraph"/>
        <w:numPr>
          <w:ilvl w:val="0"/>
          <w:numId w:val="2"/>
        </w:numPr>
        <w:spacing w:after="80"/>
      </w:pPr>
      <w:r>
        <w:rPr>
          <w:b/>
          <w:bCs/>
        </w:rPr>
        <w:t xml:space="preserve">Cleaning/ETL script: </w:t>
      </w:r>
      <w:r>
        <w:t xml:space="preserve">reproducible pipeline that ingests the monthly .xlsx and emits the tidy long table.</w:t>
      </w:r>
    </w:p>
    <w:p>
      <w:pPr>
        <w:pStyle w:val="ListParagraph"/>
        <w:numPr>
          <w:ilvl w:val="0"/>
          <w:numId w:val="2"/>
        </w:numPr>
        <w:spacing w:after="80"/>
      </w:pPr>
      <w:r>
        <w:rPr>
          <w:b/>
          <w:bCs/>
        </w:rPr>
        <w:t xml:space="preserve">Metric specification document: </w:t>
      </w:r>
      <w:r>
        <w:t xml:space="preserve">formal definitions, denominators, CIs, and suppression rules for every KPI.</w:t>
      </w:r>
    </w:p>
    <w:p>
      <w:pPr>
        <w:pStyle w:val="ListParagraph"/>
        <w:numPr>
          <w:ilvl w:val="0"/>
          <w:numId w:val="2"/>
        </w:numPr>
        <w:spacing w:after="80"/>
      </w:pPr>
      <w:r>
        <w:rPr>
          <w:b/>
          <w:bCs/>
        </w:rPr>
        <w:t xml:space="preserve">Prototype dashboard: </w:t>
      </w:r>
      <w:r>
        <w:t xml:space="preserve">one-month end-to-end demonstration of the three-layer architecture with at least the top 10 countries.</w:t>
      </w:r>
    </w:p>
    <w:p>
      <w:pPr>
        <w:pStyle w:val="Heading1"/>
        <w:spacing w:after="120" w:before="240"/>
      </w:pPr>
      <w:r>
        <w:rPr>
          <w:b/>
          <w:bCs/>
        </w:rPr>
        <w:t xml:space="preserve">9. Recommended Next Step</w:t>
      </w:r>
    </w:p>
    <w:p>
      <w:pPr>
        <w:spacing w:after="120"/>
      </w:pPr>
      <w:r>
        <w:t xml:space="preserve">Before we move into build, the single highest-value alignment is on the Metric Specification. Once the definitions of "positive impact", "negative impact", the Net Impact Index, and the minimum-N suppression rule are agreed, the rest of the pipeline (data layer, metric layer, dashboard) follows mechanically. A short working session or a written metric-spec review is recommended as the immediate next step.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AI Use Impact Tracker — Phase 1 Scoping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A5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C8A"/>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2026-04-14T13:55:25.013Z</dcterms:created>
  <dcterms:modified xsi:type="dcterms:W3CDTF">2026-04-14T13:55:25.013Z</dcterms:modified>
</cp:coreProperties>
</file>

<file path=docProps/custom.xml><?xml version="1.0" encoding="utf-8"?>
<Properties xmlns="http://schemas.openxmlformats.org/officeDocument/2006/custom-properties" xmlns:vt="http://schemas.openxmlformats.org/officeDocument/2006/docPropsVTypes"/>
</file>