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F4E79"/>
          <w:sz w:val="48"/>
        </w:rPr>
        <w:t>AI Use Impact Tracker</w:t>
      </w:r>
    </w:p>
    <w:p>
      <w:pPr>
        <w:spacing w:after="400"/>
      </w:pPr>
      <w:r>
        <w:rPr>
          <w:i/>
          <w:color w:val="595959"/>
          <w:sz w:val="26"/>
        </w:rPr>
        <w:t>Technical Reference &amp; Metric Computation Guide</w:t>
      </w:r>
    </w:p>
    <w:p>
      <w:pPr>
        <w:spacing w:after="480"/>
      </w:pPr>
      <w:r>
        <w:rPr>
          <w:b/>
        </w:rPr>
        <w:t>Sapien Labs  |  May 2026</w:t>
        <w:br/>
      </w:r>
      <w:r>
        <w:rPr>
          <w:i/>
        </w:rPr>
        <w:t>This technical brief documents the calculation methods and formulas utilized across the AI Use Impact Tracker dashboard infrastructure, focusing on structural definitions, core population denominators, and data suppression rules.</w:t>
      </w:r>
    </w:p>
    <w:p>
      <w:pPr>
        <w:keepNext/>
        <w:spacing w:before="360" w:after="120"/>
      </w:pPr>
      <w:r>
        <w:rPr>
          <w:b/>
          <w:color w:val="1F4E79"/>
          <w:sz w:val="30"/>
        </w:rPr>
        <w:t>1. Core Analytical Building Blocks</w:t>
      </w:r>
    </w:p>
    <w:p>
      <w:r>
        <w:t>All metrics are calculated using individual monthly survey responses from participants. Three primary derived vectors drive the framework:</w:t>
      </w:r>
    </w:p>
    <w:p>
      <w:pPr>
        <w:pStyle w:val="ListBullet"/>
        <w:spacing w:after="60" w:line="276" w:lineRule="auto"/>
      </w:pPr>
      <w:r>
        <w:rPr>
          <w:b/>
        </w:rPr>
        <w:t xml:space="preserve">AI-Use Frequency Scale (0–6): </w:t>
      </w:r>
      <w:r>
        <w:t>An ordinal scale capturing how frequently a participant engages with AI tools.</w:t>
      </w:r>
    </w:p>
    <w:p>
      <w:pPr>
        <w:pStyle w:val="ListBullet"/>
        <w:spacing w:after="60" w:line="276" w:lineRule="auto"/>
      </w:pPr>
      <w:r>
        <w:rPr>
          <w:b/>
        </w:rPr>
        <w:t xml:space="preserve">User Status: </w:t>
      </w:r>
      <w:r>
        <w:t>A boolean identifier confirming if a participant uses AI at all, triggered by any score ≥ 1.</w:t>
      </w:r>
    </w:p>
    <w:p>
      <w:pPr>
        <w:pStyle w:val="ListBullet"/>
        <w:spacing w:after="60" w:line="276" w:lineRule="auto"/>
      </w:pPr>
      <w:r>
        <w:rPr>
          <w:b/>
        </w:rPr>
        <w:t xml:space="preserve">Impact Framework Flags: </w:t>
      </w:r>
      <w:r>
        <w:t>Extracted multi-select boolean flags indicating specific directional workplace changes.</w:t>
      </w:r>
    </w:p>
    <w:p>
      <w:r>
        <w:t>Impact profiles are segmented into two distinct directional vectors:</w:t>
      </w:r>
    </w:p>
    <w:p>
      <w:pPr>
        <w:pStyle w:val="ListBullet"/>
        <w:spacing w:after="60" w:line="276" w:lineRule="auto"/>
      </w:pPr>
      <w:r>
        <w:rPr>
          <w:b/>
        </w:rPr>
        <w:t xml:space="preserve">Positive Vectors: </w:t>
      </w:r>
      <w:r>
        <w:t>Improved work quality or output, or creation of new income opportunities.</w:t>
      </w:r>
    </w:p>
    <w:p>
      <w:pPr>
        <w:pStyle w:val="ListBullet"/>
        <w:spacing w:after="60" w:line="276" w:lineRule="auto"/>
      </w:pPr>
      <w:r>
        <w:rPr>
          <w:b/>
        </w:rPr>
        <w:t xml:space="preserve">Negative Vectors: </w:t>
      </w:r>
      <w:r>
        <w:t>Increased pressure to adapt, job future anxiety, operational job loss, or reduced income.</w:t>
      </w:r>
    </w:p>
    <w:p>
      <w:pPr>
        <w:pStyle w:val="ListBullet"/>
        <w:spacing w:after="60" w:line="276" w:lineRule="auto"/>
      </w:pPr>
      <w:r>
        <w:rPr>
          <w:b/>
        </w:rPr>
        <w:t xml:space="preserve">Neutral Safeguards: </w:t>
      </w:r>
      <w:r>
        <w:t>Options noting ‘No impact’, ‘Not sure’, or ‘Other’ are classified as neutral and do not contribute to directional balances.</w:t>
      </w:r>
    </w:p>
    <w:p>
      <w:pPr>
        <w:keepNext/>
        <w:spacing w:before="360" w:after="120"/>
      </w:pPr>
      <w:r>
        <w:rPr>
          <w:b/>
          <w:color w:val="1F4E79"/>
          <w:sz w:val="30"/>
        </w:rPr>
        <w:t>2. Core Population Indicators</w:t>
      </w:r>
    </w:p>
    <w:p>
      <w:r>
        <w:t>These base descriptive metrics are calculated independently for every demographic stratum and month block.</w:t>
      </w:r>
    </w:p>
    <w:p>
      <w:pPr>
        <w:keepNext/>
        <w:spacing w:before="240" w:after="80"/>
      </w:pPr>
      <w:r>
        <w:rPr>
          <w:b/>
          <w:color w:val="2E74B5"/>
          <w:sz w:val="24"/>
        </w:rPr>
        <w:t>Total Respondent Count (N)</w:t>
      </w:r>
    </w:p>
    <w:p>
      <w:r>
        <w:t>The straightforward absolute headcount representing all individuals who finalized the survey inside a designated cohort.</w:t>
      </w:r>
    </w:p>
    <w:p>
      <w:pPr>
        <w:keepNext/>
        <w:spacing w:before="240" w:after="80"/>
      </w:pPr>
      <w:r>
        <w:rPr>
          <w:b/>
          <w:color w:val="2E74B5"/>
          <w:sz w:val="24"/>
        </w:rPr>
        <w:t>Adoption Rate</w:t>
      </w:r>
    </w:p>
    <w:p>
      <w:r>
        <w:t>The proportion of the surveyed population that actively employs AI tools.</w:t>
      </w:r>
    </w:p>
    <w:p>
      <w:pPr>
        <w:spacing w:after="240"/>
      </w:pPr>
      <m:oMathPara>
        <m:oMath>
          <m:r>
            <m:t>Adoption Rate</m:t>
          </m:r>
          <m:r>
            <m:t>=</m:t>
          </m:r>
          <m:f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</m:naryPr>
            <m:sub/>
            <m:sup/>
            <m:e>
              <m:r>
                <m:t>User_Status</m:t>
              </m:r>
            </m:e>
          </m:nary>
        </m:oMath>
      </m:oMathPara>
    </w:p>
    <w:p>
      <w:pPr>
        <w:keepNext/>
        <w:spacing w:before="240" w:after="80"/>
      </w:pPr>
      <w:r>
        <w:rPr>
          <w:b/>
          <w:color w:val="2E74B5"/>
          <w:sz w:val="24"/>
        </w:rPr>
        <w:t>Average Frequency Score</w:t>
      </w:r>
    </w:p>
    <w:p>
      <w:r>
        <w:t>The mean frequency score across all respondents who provided a valid non-null frequency answer (N′).</w:t>
      </w:r>
    </w:p>
    <w:p>
      <w:pPr>
        <w:spacing w:after="240"/>
      </w:pPr>
      <m:oMathPara>
        <m:oMath>
          <m:r>
            <m:t>Average Frequency</m:t>
          </m:r>
          <m:r>
            <m:t>=</m:t>
          </m:r>
          <m:f>
            <m:num>
              <m:r>
                <m:t>1</m:t>
              </m:r>
            </m:num>
            <m:den>
              <m:r>
                <m:t>N'</m:t>
              </m:r>
            </m:den>
          </m:f>
          <m:nary>
            <m:naryPr>
              <m:chr m:val="∑"/>
              <m:limLoc m:val="undOvr"/>
              <m:subHide m:val="1"/>
              <m:supHide m:val="1"/>
            </m:naryPr>
            <m:sub/>
            <m:sup/>
            <m:e>
              <m:r>
                <m:t>Frequency_Score</m:t>
              </m:r>
            </m:e>
          </m:nary>
        </m:oMath>
      </m:oMathPara>
    </w:p>
    <w:p>
      <w:pPr>
        <w:keepNext/>
        <w:spacing w:before="360" w:after="120"/>
      </w:pPr>
      <w:r>
        <w:rPr>
          <w:b/>
          <w:color w:val="1F4E79"/>
          <w:sz w:val="30"/>
        </w:rPr>
        <w:t>3. The Impact Denominator Framework</w:t>
      </w:r>
    </w:p>
    <w:p>
      <w:r>
        <w:t>To isolate real trends, workspace impact metrics do not use the full population headcount (N) as their base. Instead, they rely strictly on a verified sub-population called the Impact Denominator (N_impact).</w:t>
      </w:r>
    </w:p>
    <w:p>
      <w:r>
        <w:t>To be included in this specific denominator, a respondent must fulfill two rules simultaneously:</w:t>
      </w:r>
    </w:p>
    <w:p>
      <w:pPr>
        <w:pStyle w:val="ListBullet"/>
        <w:spacing w:after="60" w:line="276" w:lineRule="auto"/>
      </w:pPr>
      <w:r>
        <w:rPr>
          <w:b/>
        </w:rPr>
        <w:t xml:space="preserve">1. Active Engagement: </w:t>
      </w:r>
      <w:r>
        <w:t>They must be a confirmed AI user (Frequency score ≥ 1).</w:t>
      </w:r>
    </w:p>
    <w:p>
      <w:pPr>
        <w:pStyle w:val="ListBullet"/>
        <w:spacing w:after="60" w:line="276" w:lineRule="auto"/>
      </w:pPr>
      <w:r>
        <w:rPr>
          <w:b/>
        </w:rPr>
        <w:t xml:space="preserve">2. Valid Response: </w:t>
      </w:r>
      <w:r>
        <w:t>They must have provided an explicit answer to the impact question, including choosing baseline answers like ‘No impact’ or ‘Not sure’.</w:t>
      </w:r>
    </w:p>
    <w:p>
      <w:pPr>
        <w:spacing w:before="120" w:after="240"/>
        <w:ind w:left="576" w:right="576"/>
      </w:pPr>
      <w:r>
        <w:rPr>
          <w:i/>
          <w:color w:val="666666"/>
        </w:rPr>
        <w:t>Methodological Purpose: Non-users are removed from impact calculations because a participant with zero regular interaction cannot report direct workspace shifts. This step ensures that the resulting percentages accurately reflect the experiences of the user base without downward dilution.</w:t>
      </w:r>
    </w:p>
    <w:p>
      <w:pPr>
        <w:keepNext/>
        <w:spacing w:before="360" w:after="120"/>
      </w:pPr>
      <w:r>
        <w:rPr>
          <w:b/>
          <w:color w:val="1F4E79"/>
          <w:sz w:val="30"/>
        </w:rPr>
        <w:t>4. Composite Strategic Summary Indices</w:t>
      </w:r>
    </w:p>
    <w:p>
      <w:r>
        <w:t>The framework synthesizes individual flags into two big-picture composite metrics built off the Impact Denominator.</w:t>
      </w:r>
    </w:p>
    <w:p>
      <w:pPr>
        <w:keepNext/>
        <w:spacing w:before="240" w:after="80"/>
      </w:pPr>
      <w:r>
        <w:rPr>
          <w:b/>
          <w:color w:val="2E74B5"/>
          <w:sz w:val="24"/>
        </w:rPr>
        <w:t>Net Impact Index (NII)</w:t>
      </w:r>
    </w:p>
    <w:p>
      <w:r>
        <w:t>This index tracks the broad directional leaning of the cohort by subtracting the negative impact share from the positive impact share.</w:t>
      </w:r>
    </w:p>
    <w:p>
      <w:pPr>
        <w:spacing w:after="240"/>
      </w:pPr>
      <m:oMathPara>
        <m:oMath>
          <m:r>
            <m:t>NII</m:t>
          </m:r>
          <m:r>
            <m:t>=</m:t>
          </m:r>
          <m:r>
            <m:t>Positive_Share</m:t>
          </m:r>
          <m:r>
            <m:t>−</m:t>
          </m:r>
          <m:r>
            <m:t>Negative_Share</m:t>
          </m:r>
        </m:oMath>
      </m:oMathPara>
    </w:p>
    <w:p>
      <w:pPr>
        <w:keepNext/>
        <w:spacing w:before="240" w:after="80"/>
      </w:pPr>
      <w:r>
        <w:rPr>
          <w:b/>
          <w:color w:val="2E74B5"/>
          <w:sz w:val="24"/>
        </w:rPr>
        <w:t>Weighted Impact Index (WII)</w:t>
      </w:r>
    </w:p>
    <w:p>
      <w:r>
        <w:t>The primary headline parameter of the tracker dashboard. Rather than checking raw directional splits, it applies standardized analytical severity weights to individual answers to map economic severity: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Workplace Impact Choice Flag</w:t>
            </w:r>
          </w:p>
        </w:tc>
        <w:tc>
          <w:tcPr>
            <w:tcW w:type="dxa" w:w="468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b/>
                <w:color w:val="FFFFFF"/>
              </w:rPr>
              <w:t>Assigned Severity Weight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Created new job or income opportunities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t>+1.00</w:t>
            </w:r>
          </w:p>
        </w:tc>
      </w:tr>
      <w:tr>
        <w:tc>
          <w:tcPr>
            <w:tcW w:type="dxa" w:w="4680"/>
            <w:shd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Improved my work quality or output</w:t>
            </w:r>
          </w:p>
        </w:tc>
        <w:tc>
          <w:tcPr>
            <w:tcW w:type="dxa" w:w="4680"/>
            <w:shd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t>+0.50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Made me worry about the future of my job or industry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t>-0.25</w:t>
            </w:r>
          </w:p>
        </w:tc>
      </w:tr>
      <w:tr>
        <w:tc>
          <w:tcPr>
            <w:tcW w:type="dxa" w:w="4680"/>
            <w:shd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Increased pressure to adapt or work faster</w:t>
            </w:r>
          </w:p>
        </w:tc>
        <w:tc>
          <w:tcPr>
            <w:tcW w:type="dxa" w:w="4680"/>
            <w:shd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t>-0.50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Reduced my income or made it harder to find work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t>-0.75</w:t>
            </w:r>
          </w:p>
        </w:tc>
      </w:tr>
      <w:tr>
        <w:tc>
          <w:tcPr>
            <w:tcW w:type="dxa" w:w="4680"/>
            <w:shd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Caused me to lose my job</w:t>
            </w:r>
          </w:p>
        </w:tc>
        <w:tc>
          <w:tcPr>
            <w:tcW w:type="dxa" w:w="4680"/>
            <w:shd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t>-1.00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No impact / Another impact / Not sure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t>0.00</w:t>
            </w:r>
          </w:p>
        </w:tc>
      </w:tr>
    </w:tbl>
    <w:p/>
    <w:p>
      <w:r>
        <w:t>To compute the WII, the system calculates a total personal score for each respondent based on their combined flags, then extracts an arithmetic mean over the Impact Denominator:</w:t>
      </w:r>
    </w:p>
    <w:p>
      <w:pPr>
        <w:spacing w:after="240"/>
      </w:pPr>
      <m:oMathPara>
        <m:oMath>
          <m:r>
            <m:t>WII</m:t>
          </m:r>
          <m:r>
            <m:t>=</m:t>
          </m:r>
          <m:f>
            <m:num>
              <m:r>
                <m:t>1</m:t>
              </m:r>
            </m:num>
            <m:den>
              <m:r>
                <m:t>N</m:t>
              </m:r>
              <m:sub>
                <m:r>
                  <m:t>impact</m:t>
                </m:r>
              </m:sub>
            </m:den>
          </m:f>
          <m:nary>
            <m:naryPr>
              <m:chr m:val="∑"/>
              <m:limLoc m:val="undOvr"/>
              <m:subHide m:val="1"/>
              <m:supHide m:val="1"/>
            </m:naryPr>
            <m:sub/>
            <m:sup/>
            <m:e>
              <m:r>
                <m:t>Personal_Score</m:t>
              </m:r>
            </m:e>
          </m:nary>
        </m:oMath>
      </m:oMathPara>
    </w:p>
    <w:p>
      <w:pPr>
        <w:keepNext/>
        <w:spacing w:before="360" w:after="120"/>
      </w:pPr>
      <w:r>
        <w:rPr>
          <w:b/>
          <w:color w:val="1F4E79"/>
          <w:sz w:val="30"/>
        </w:rPr>
        <w:t>5. Governance Rules &amp; Controls</w:t>
      </w:r>
    </w:p>
    <w:p>
      <w:pPr>
        <w:pStyle w:val="ListBullet"/>
        <w:spacing w:after="60" w:line="276" w:lineRule="auto"/>
      </w:pPr>
      <w:r>
        <w:rPr>
          <w:b/>
        </w:rPr>
        <w:t xml:space="preserve">Suppression Boundary: </w:t>
      </w:r>
      <w:r>
        <w:t>Any demographic matrix cell tracking fewer than 50 total respondents is automatically suppressed to ensure confidentiality and filter out raw statistical noise.</w:t>
      </w:r>
    </w:p>
    <w:p>
      <w:pPr>
        <w:pStyle w:val="ListBullet"/>
        <w:spacing w:after="60" w:line="276" w:lineRule="auto"/>
      </w:pPr>
      <w:r>
        <w:rPr>
          <w:b/>
        </w:rPr>
        <w:t xml:space="preserve">Multi-Month Pooling: </w:t>
      </w:r>
      <w:r>
        <w:t>Time-window filters (such as rolling 3- or 6-month selectors) aggregate data using sample-size weighted means across constituent cells to ensure mathematical balance in multi-month views.</w:t>
      </w:r>
    </w:p>
    <w:p>
      <w:pPr>
        <w:pStyle w:val="ListBullet"/>
        <w:spacing w:after="60" w:line="276" w:lineRule="auto"/>
      </w:pPr>
      <w:r>
        <w:rPr>
          <w:b/>
        </w:rPr>
        <w:t xml:space="preserve">Dose-Response Layout: </w:t>
      </w:r>
      <w:r>
        <w:t>The dose-response grid tracks the Net Impact Index across isolated usage groups to evaluate behavioral trends without introducing claims of true direct causality.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