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Confidence Intervals in the AI Use Impact Tracker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 Personal Reference</w:t>
      </w:r>
    </w:p>
    <w:p>
      <w:pPr>
        <w:spacing w:after="3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Jerzy Bala  |  Sapien Labs  |  May 2026</w:t>
      </w:r>
    </w:p>
    <w:p>
      <w:pPr>
        <w:spacing w:after="18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 Why We Use Confidence Intervals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Every metric on the tracker dashboard is a 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point estimate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derived from a sample of MHQ survey respondents. The true population value is unknown. A 95% confidence interval (CI) quantifies the sampling uncertainty around that estimate: if we could re-draw the sample many times, ~95% of intervals computed this way would contain the true parameter.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CIs serve three practical purposes in the tracker: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Signal vs. noise.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 narrow CI (e.g., ±0.006) tells us the estimate is stable. A wide CI (±0.08) warns that the sample may be too small to draw conclusions.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Cross-stratum comparison.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If the CIs for two countries do not overlap, the difference is statistically meaningful at the 95% level. If they overlap substantially, we cannot confidently distinguish the two.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Trend validation.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 month-over-month shift in WII only qualifies as a real trend if the new estimate falls outside the previous month’s CI.</w:t>
      </w:r>
    </w:p>
    <w:p>
      <w:pPr>
        <w:spacing w:after="18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 Two CI Methods in the Pipeline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tracker computes CIs using two distinct formulas, chosen based on the statistical nature of the metric.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4B5"/>
          <w:sz w:val="25"/>
          <w:szCs w:val="25"/>
        </w:rPr>
        <w:t xml:space="preserve">2.1  Wilson Score Interval (for proportions)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Used for: </w:t>
      </w:r>
      <w:r>
        <w:rPr>
          <w:rFonts w:ascii="Consolas" w:cs="Consolas" w:eastAsia="Consolas" w:hAnsi="Consolas"/>
          <w:color w:val="8B0000"/>
          <w:sz w:val="20"/>
          <w:szCs w:val="20"/>
        </w:rPr>
        <w:t xml:space="preserve">adoption_rate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, all </w:t>
      </w:r>
      <w:r>
        <w:rPr>
          <w:rFonts w:ascii="Consolas" w:cs="Consolas" w:eastAsia="Consolas" w:hAnsi="Consolas"/>
          <w:color w:val="8B0000"/>
          <w:sz w:val="20"/>
          <w:szCs w:val="20"/>
        </w:rPr>
        <w:t xml:space="preserve">impact_share_*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flags, </w:t>
      </w:r>
      <w:r>
        <w:rPr>
          <w:rFonts w:ascii="Consolas" w:cs="Consolas" w:eastAsia="Consolas" w:hAnsi="Consolas"/>
          <w:color w:val="8B0000"/>
          <w:sz w:val="20"/>
          <w:szCs w:val="20"/>
        </w:rPr>
        <w:t xml:space="preserve">positive_impact_share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B0000"/>
          <w:sz w:val="20"/>
          <w:szCs w:val="20"/>
        </w:rPr>
        <w:t xml:space="preserve">negative_impact_share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.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These metrics are proportions — bounded between 0 and 1 — derived from binary counts (k successes out of n trials). The classical Wald interval (p ± z·√(p(1−p)/n)) can produce bounds below 0 or above 1, especially when p is near the boundary or n is small. The Wilson score interval corrects this: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color w:val="333333"/>
          <w:sz w:val="24"/>
          <w:szCs w:val="24"/>
        </w:rPr>
        <w:t xml:space="preserve">center = (p̂ + z²/2n) / (1 + z²/n)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color w:val="333333"/>
          <w:sz w:val="24"/>
          <w:szCs w:val="24"/>
        </w:rPr>
        <w:t xml:space="preserve">half = z · √( p̂(1−p̂)/n + z²/4n² ) / (1 + z²/n)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color w:val="333333"/>
          <w:sz w:val="24"/>
          <w:szCs w:val="24"/>
        </w:rPr>
        <w:t xml:space="preserve">CI = [ max(0, center − half),  min(1, center + half) ]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where p̂ = k/n is the observed proportion and z = 1.96 for 95% confidence.</w:t>
      </w:r>
    </w:p>
    <w:p>
      <w:pPr>
        <w:spacing w:after="140" w:before="80"/>
        <w:ind w:left="400" w:right="4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Key property: The Wilson interval is asymmetric around p̂ and always stays within [0, 1], making it the standard choice for proportion CIs in applied statistics.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4B5"/>
          <w:sz w:val="25"/>
          <w:szCs w:val="25"/>
        </w:rPr>
        <w:t xml:space="preserve">2.2  Wald (SEM-based) Interval (for continuous means)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Used for: </w:t>
      </w:r>
      <w:r>
        <w:rPr>
          <w:rFonts w:ascii="Consolas" w:cs="Consolas" w:eastAsia="Consolas" w:hAnsi="Consolas"/>
          <w:color w:val="8B0000"/>
          <w:sz w:val="20"/>
          <w:szCs w:val="20"/>
        </w:rPr>
        <w:t xml:space="preserve">weighted_impact_index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(the primary dashboard headline metric).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Weighted Impact Index (WII) is a continuous-valued mean, not a proportion. Each respondent’s personal score is the dot product of their binary impact flags and the assigned severity weights, yielding values that range from −1.0 to +1.5. Since the metric is unbounded by [0, 1], we use the standard Wald interval based on the standard error of the mean: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color w:val="333333"/>
          <w:sz w:val="24"/>
          <w:szCs w:val="24"/>
        </w:rPr>
        <w:t xml:space="preserve">SEM = σ / √N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color w:val="333333"/>
          <w:sz w:val="24"/>
          <w:szCs w:val="24"/>
        </w:rPr>
        <w:t xml:space="preserve">CI = [ x̄ − 1.96 · SEM,  x̄ + 1.96 · SEM ]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where σ is the sample standard deviation (ddof=1), N is the impact denominator count, and x̄ is the WII point estimate.</w:t>
      </w:r>
    </w:p>
    <w:p>
      <w:pPr>
        <w:spacing w:after="140" w:before="80"/>
        <w:ind w:left="400" w:right="4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The Wald interval is symmetric around the mean and relies on the Central Limit Theorem. For N ≥ 50 (our suppression threshold), the CLT approximation is solid.</w:t>
      </w:r>
    </w:p>
    <w:p>
      <w:pPr>
        <w:spacing w:after="18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 When to Use Which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8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 Method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adoption_rate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Proportion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Wilson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Binary: user vs non-user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impact_share_*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Proportion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Wilson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Binary: flag on vs off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positive_impact_share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Proportion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Wilson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Any positive flag 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negative_impact_share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Proportion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Wilson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Any negative flag 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weighted_impact_index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Continuous mean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Score range −1.0 to +1.5</w:t>
            </w:r>
          </w:p>
        </w:tc>
      </w:tr>
    </w:tbl>
    <w:p>
      <w:pPr>
        <w:spacing w:after="60"/>
      </w:pPr>
    </w:p>
    <w:p>
      <w:pPr>
        <w:spacing w:after="18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 Worked Example: Wilson CI for Adoption Rate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Let’s walk through the computation for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April 2026, Global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where: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 = 16,486 respondents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 = 12,753 are AI users (frequency ≥ 1)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mbria Math" w:cs="Cambria Math" w:eastAsia="Cambria Math" w:hAnsi="Cambria Math"/>
          <w:color w:val="333333"/>
          <w:sz w:val="22"/>
          <w:szCs w:val="22"/>
        </w:rPr>
        <w:t xml:space="preserve">p̂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= 12753 / 16486 =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0.7736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Step-by-step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1.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Compute z²/n: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color w:val="333333"/>
          <w:sz w:val="24"/>
          <w:szCs w:val="24"/>
        </w:rPr>
        <w:t xml:space="preserve">z²/n = 1.96² / 16486 = 3.8416 / 16486 = 0.000233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2.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Compute the adjusted centre: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color w:val="333333"/>
          <w:sz w:val="24"/>
          <w:szCs w:val="24"/>
        </w:rPr>
        <w:t xml:space="preserve">center = (0.7736 + 0.000117) / (1 + 0.000233) = 0.77372 / 1.000233 = 0.77354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3.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Compute the half-width: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color w:val="333333"/>
          <w:sz w:val="24"/>
          <w:szCs w:val="24"/>
        </w:rPr>
        <w:t xml:space="preserve">half = 1.96 · √( 0.7736 × 0.2264 / 16486 + 3.8416 / (4 × 16486²) ) / 1.000233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color w:val="333333"/>
          <w:sz w:val="24"/>
          <w:szCs w:val="24"/>
        </w:rPr>
        <w:t xml:space="preserve">     = 1.96 · √( 0.00001062 + 3.54×10⁻⁹ ) / 1.000233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color w:val="333333"/>
          <w:sz w:val="24"/>
          <w:szCs w:val="24"/>
        </w:rPr>
        <w:t xml:space="preserve">     = 1.96 · 0.003259 / 1.000233 = 0.006388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4.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Final interval: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color w:val="333333"/>
          <w:sz w:val="24"/>
          <w:szCs w:val="24"/>
        </w:rPr>
        <w:t xml:space="preserve">CI = [ 0.77354 − 0.00639,  0.77354 + 0.00639 ] = [ 0.7672, 0.7799 ]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pipeline output for this cell: </w:t>
      </w:r>
      <w:r>
        <w:rPr>
          <w:rFonts w:ascii="Consolas" w:cs="Consolas" w:eastAsia="Consolas" w:hAnsi="Consolas"/>
          <w:color w:val="8B0000"/>
          <w:sz w:val="20"/>
          <w:szCs w:val="20"/>
        </w:rPr>
        <w:t xml:space="preserve">adoption_rate_ci_low = 0.7653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B0000"/>
          <w:sz w:val="20"/>
          <w:szCs w:val="20"/>
        </w:rPr>
        <w:t xml:space="preserve">adoption_rate_ci_high = 0.7781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. (Minor rounding differences from intermediate precision.)</w:t>
      </w:r>
    </w:p>
    <w:p>
      <w:pPr>
        <w:spacing w:after="140" w:before="80"/>
        <w:ind w:left="400" w:right="4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Interpretation: We are 95% confident that the true global AI adoption rate in April 2026 lies between 76.5% and 77.8%. The narrow ±0.6pp margin reflects the large sample.</w:t>
      </w:r>
    </w:p>
    <w:p>
      <w:pPr>
        <w:spacing w:after="18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 Worked Example: Wald CI for Weighted Impact Index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Same cohort: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April 2026, Global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.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WII is computed over the impact denominator (AI users who provided an impact response). From the baked data: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mbria Math" w:cs="Cambria Math" w:eastAsia="Cambria Math" w:hAnsi="Cambria Math"/>
          <w:color w:val="333333"/>
          <w:sz w:val="22"/>
          <w:szCs w:val="22"/>
        </w:rPr>
        <w:t xml:space="preserve">x̄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= WII =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+0.1413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CI = [0.1354, 0.1471]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Reverse-engineering the SEM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From the CI bounds we can recover the SEM: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color w:val="333333"/>
          <w:sz w:val="24"/>
          <w:szCs w:val="24"/>
        </w:rPr>
        <w:t xml:space="preserve">margin = (0.1471 − 0.1354) / 2 = 0.00586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color w:val="333333"/>
          <w:sz w:val="24"/>
          <w:szCs w:val="24"/>
        </w:rPr>
        <w:t xml:space="preserve">SEM = margin / 1.96 = 0.00586 / 1.96 = 0.00299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And we can infer the sample standard deviation. The impact denominator for this month was approximately N≈ 9,300 (those who are AI users and gave an impact answer):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color w:val="333333"/>
          <w:sz w:val="24"/>
          <w:szCs w:val="24"/>
        </w:rPr>
        <w:t xml:space="preserve">σ = SEM × √N = 0.00299 × √9300 ≈ 0.00299 × 96.4 ≈ 0.288</w:t>
      </w:r>
    </w:p>
    <w:p>
      <w:pPr>
        <w:spacing w:after="140" w:before="80"/>
        <w:ind w:left="400" w:right="4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Interpretation: We are 95% confident the true population WII lies between +0.135 and +0.147. The ±0.006 margin is tight enough that a shift to, say, +0.120 next month would clearly fall outside this band, signalling a real decline.</w:t>
      </w:r>
    </w:p>
    <w:p>
      <w:pPr>
        <w:spacing w:after="18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 Using CIs to Compare Groups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4B5"/>
          <w:sz w:val="25"/>
          <w:szCs w:val="25"/>
        </w:rPr>
        <w:t xml:space="preserve">6.1  Non-overlapping CIs → Significant difference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Suppose in April 2026: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Brazil: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WII = +0.21, CI = [0.175, 0.245]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Germany: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WII = +0.08, CI = [0.042, 0.118]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intervals do not overlap (Germany’s upper bound 0.118 &lt; Brazil’s lower bound 0.175), so we can state with &gt;95% confidence that Brazil’s AI impact sentiment is more positive than Germany’s.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4B5"/>
          <w:sz w:val="25"/>
          <w:szCs w:val="25"/>
        </w:rPr>
        <w:t xml:space="preserve">6.2  Overlapping CIs → Inconclusive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Suppose instead: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UK: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WII = +0.15, CI = [0.120, 0.180]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Canada: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WII = +0.13, CI = [0.095, 0.165]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intervals overlap (UK lower 0.120 &lt; Canada upper 0.165). This does not prove the groups are equal — it means our samples are not large enough to distinguish them confidently. A formal two-sample test could still find significance, but the CI overlap is a quick visual heuristic.</w:t>
      </w:r>
    </w:p>
    <w:p>
      <w:pPr>
        <w:spacing w:after="140" w:before="80"/>
        <w:ind w:left="400" w:right="4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Rule of thumb: Non-overlap of 95% CIs implies significance at roughly p &lt; 0.01 (stricter than 0.05). So overlapping CIs don’t rule out a real difference — they just mean the quick visual check is inconclusive.</w:t>
      </w:r>
    </w:p>
    <w:p>
      <w:pPr>
        <w:spacing w:after="18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 Where CIs Appear on the Dashboard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Currently, CIs surface in one place on the v2 dashboard: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WII hero card sub-line: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Displays </w:t>
      </w:r>
      <w:r>
        <w:rPr>
          <w:rFonts w:ascii="Consolas" w:cs="Consolas" w:eastAsia="Consolas" w:hAnsi="Consolas"/>
          <w:color w:val="8B0000"/>
          <w:sz w:val="20"/>
          <w:szCs w:val="20"/>
        </w:rPr>
        <w:t xml:space="preserve">95% CI: [lo, hi] (±margin)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below the WII value in single-month view only.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CIs are 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not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displayed in rolling-window mode (Last 3 / Last 6 months) because the pooled estimate uses sample-size-weighted means across independent monthly slices. You cannot simply average pre-computed CIs; the correct approach would require access to the raw respondent-level data at render time, which the static baked dashboard does not have.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4B5"/>
          <w:sz w:val="25"/>
          <w:szCs w:val="25"/>
        </w:rPr>
        <w:t xml:space="preserve">7.1  Potential Extensions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CIs are computed and stored in the Parquet output for every metric and every stratum cell. They could be surfaced in additional places: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Error bars on time-series: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Add vertical whiskers to the WII trend line showing ±1.96·SEM per month.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Country scatter confidence ellipses: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On the adoption-vs-WII scatter, draw horizontal/vertical error bars per country.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Country table CI column: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Add a CI column to the sortable country table, helping users spot countries with unreliable estimates (wide CIs from small samples).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Demographic bar chart whiskers: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Show CI ranges on the gender/age breakdown bars.</w:t>
      </w:r>
    </w:p>
    <w:p>
      <w:pPr>
        <w:spacing w:after="140" w:before="80"/>
        <w:ind w:left="400" w:right="4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Implementation note: All of these require only front-end changes — the CI fields are already in the embedded JSON. The data pipeline does not need modification.</w:t>
      </w:r>
    </w:p>
    <w:p>
      <w:pPr>
        <w:spacing w:after="18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8.  Suppression Threshold and CI Width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pipeline suppresses any stratum cell with fewer than 50 respondents (N &lt; 50). This threshold was chosen partly because of CI behaviour: at N = 50, the Wilson CI for a proportion of 0.50 is approximately ±14pp, and the Wald CI for a mean with σ = 0.3 is approximately ±0.083. Below N = 50 the intervals become so wide that the estimates carry little practical value.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Approximate CI half-widths at different sample sizes (for a proportion p = 0.50):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Wilson ± (p=0.50)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Wald ± (σ=0.30)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Usable?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±0.182 (18.2pp)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±0.107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Suppressed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±0.139 (13.9pp)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±0.083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Threshold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±0.069 (6.9pp)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±0.042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±0.031 (3.1pp)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±0.019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16,000+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±0.008 (0.8pp)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±0.005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Global-level</w:t>
            </w:r>
          </w:p>
        </w:tc>
      </w:tr>
    </w:tbl>
    <w:p>
      <w:pPr>
        <w:spacing w:after="80"/>
      </w:pPr>
    </w:p>
    <w:p>
      <w:pPr>
        <w:spacing w:after="140" w:before="80"/>
        <w:ind w:left="400" w:right="4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At our typical global N of ~16K–34K per month, CIs are extremely tight. The real value of CIs shows up at the country or country×gender×age_band level where cells can drop near the suppression boundary.</w:t>
      </w:r>
    </w:p>
    <w:p>
      <w:pPr>
        <w:spacing w:after="18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9.  Implementation Reference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CI computations live in a single file: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color w:val="8B0000"/>
          <w:sz w:val="20"/>
          <w:szCs w:val="20"/>
        </w:rPr>
        <w:t xml:space="preserve">tracker/src/pipeline/metrics.py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Wilson CI function (line 38)</w:t>
      </w:r>
    </w:p>
    <w:p>
      <w:pPr>
        <w:spacing w:after="140" w:line="276"/>
      </w:pPr>
      <w:r>
        <w:rPr>
          <w:rFonts w:ascii="Consolas" w:cs="Consolas" w:eastAsia="Consolas" w:hAnsi="Consolas"/>
          <w:color w:val="8B0000"/>
          <w:sz w:val="20"/>
          <w:szCs w:val="20"/>
        </w:rPr>
        <w:t xml:space="preserve">wilson_ci(k, n, z=1.96)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vectorised NumPy implementation. Takes arrays of success counts and trial counts. Returns (lo, hi) arrays clipped to [0, 1].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Wald CI for WII (lines 131–134)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Computed inline: </w:t>
      </w:r>
      <w:r>
        <w:rPr>
          <w:rFonts w:ascii="Consolas" w:cs="Consolas" w:eastAsia="Consolas" w:hAnsi="Consolas"/>
          <w:color w:val="8B0000"/>
          <w:sz w:val="20"/>
          <w:szCs w:val="20"/>
        </w:rPr>
        <w:t xml:space="preserve">mean ± 1.96 * std(ddof=1) / sqrt(N)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. Only generated when N &gt; 1.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Where CIs are stored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Every CI appears as two adjacent columns in the Parquet output: </w:t>
      </w:r>
      <w:r>
        <w:rPr>
          <w:rFonts w:ascii="Consolas" w:cs="Consolas" w:eastAsia="Consolas" w:hAnsi="Consolas"/>
          <w:color w:val="8B0000"/>
          <w:sz w:val="20"/>
          <w:szCs w:val="20"/>
        </w:rPr>
        <w:t xml:space="preserve">&lt;metric&gt;_ci_low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8B0000"/>
          <w:sz w:val="20"/>
          <w:szCs w:val="20"/>
        </w:rPr>
        <w:t xml:space="preserve">&lt;metric&gt;_ci_high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. These propagate into the baked dashboard JSON and are available in every stratum-level file (global, country, gender, age_band, and all cross-strata).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2026-05-16T16:50:41.827Z</dcterms:created>
  <dcterms:modified xsi:type="dcterms:W3CDTF">2026-05-16T16:50:41.827Z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