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4E79"/>
          <w:sz w:val="56"/>
        </w:rPr>
        <w:t>How the Metrics Are Computed</w:t>
      </w:r>
    </w:p>
    <w:p>
      <w:pPr>
        <w:spacing w:after="80"/>
        <w:jc w:val="center"/>
      </w:pPr>
      <w:r>
        <w:rPr>
          <w:i/>
          <w:color w:val="595959"/>
          <w:sz w:val="28"/>
        </w:rPr>
        <w:t>AI Use Impact Tracker — Technical Reference</w:t>
      </w:r>
    </w:p>
    <w:p>
      <w:pPr>
        <w:spacing w:after="120"/>
        <w:jc w:val="center"/>
      </w:pPr>
      <w:r>
        <w:rPr>
          <w:b/>
          <w:color w:val="6366F1"/>
          <w:sz w:val="24"/>
        </w:rPr>
        <w:t>Refined Edition</w:t>
      </w:r>
    </w:p>
    <w:p>
      <w:pPr>
        <w:spacing w:after="480"/>
        <w:jc w:val="center"/>
      </w:pPr>
      <w:r>
        <w:rPr>
          <w:b/>
        </w:rPr>
        <w:t>Sapien Labs  |  May 2026</w:t>
      </w:r>
    </w:p>
    <w:p>
      <w:pPr>
        <w:spacing w:after="120" w:line="288" w:lineRule="auto"/>
      </w:pPr>
      <w:r>
        <w:t>This document is a detailed walk-through of every metric the AI Impact Tracker publishes, including the exact formulas, denominators, suppression rules, and how the dashboard's Period filter pools months together.</w:t>
      </w:r>
    </w:p>
    <w:p>
      <w:pPr>
        <w:spacing w:after="120" w:line="288" w:lineRule="auto"/>
      </w:pPr>
      <w:r>
        <w:t xml:space="preserve">It is a companion to </w:t>
      </w:r>
      <w:r>
        <w:rPr>
          <w:b/>
          <w:color w:val="2E74B5"/>
        </w:rPr>
        <w:t>COLUMNS.md</w:t>
      </w:r>
      <w:r>
        <w:t xml:space="preserve"> (which documents the source-side survey columns) and </w:t>
      </w:r>
      <w:r>
        <w:rPr>
          <w:b/>
          <w:color w:val="2E74B5"/>
        </w:rPr>
        <w:t>TRACKER.md</w:t>
      </w:r>
      <w:r>
        <w:t xml:space="preserve"> (the spec/contract for the metric layer). All formulas match the implementation in </w:t>
      </w:r>
      <w:r>
        <w:rPr>
          <w:rFonts w:ascii="Consolas" w:hAnsi="Consolas"/>
          <w:color w:val="2E74B5"/>
          <w:sz w:val="20"/>
        </w:rPr>
        <w:t>metrics.py</w:t>
      </w:r>
      <w:r>
        <w:t xml:space="preserve"> and </w:t>
      </w:r>
      <w:r>
        <w:rPr>
          <w:rFonts w:ascii="Consolas" w:hAnsi="Consolas"/>
          <w:color w:val="2E74B5"/>
          <w:sz w:val="20"/>
        </w:rPr>
        <w:t>normalize.py</w:t>
      </w:r>
      <w:r>
        <w:t>.</w:t>
      </w:r>
    </w:p>
    <w:p>
      <w:pPr>
        <w:keepNext/>
        <w:spacing w:before="480" w:after="160"/>
        <w:pBdr>
          <w:bottom w:val="single" w:sz="6" w:space="4" w:color="1F4E79"/>
        </w:pBdr>
      </w:pPr>
      <w:r>
        <w:rPr>
          <w:b/>
          <w:color w:val="1F4E79"/>
          <w:sz w:val="30"/>
        </w:rPr>
        <w:t>1. Core Analytical Building Blocks</w:t>
      </w:r>
    </w:p>
    <w:p>
      <w:pPr>
        <w:spacing w:after="120" w:line="288" w:lineRule="auto"/>
      </w:pPr>
      <w:r>
        <w:t>All metrics are calculated from one row per respondent per month. Three primary derived fields drive almost everything else.</w:t>
      </w:r>
    </w:p>
    <w:p>
      <w:pPr>
        <w:keepNext/>
        <w:spacing w:before="280" w:after="80"/>
      </w:pPr>
      <w:r>
        <w:rPr>
          <w:b/>
          <w:color w:val="2E74B5"/>
          <w:sz w:val="24"/>
        </w:rPr>
        <w:t>1.1  AI-Use Frequency Scale (ai_freq_int)</w:t>
      </w:r>
    </w:p>
    <w:p>
      <w:pPr>
        <w:spacing w:after="120" w:line="288" w:lineRule="auto"/>
      </w:pPr>
      <w:r>
        <w:t>Mapped from the raw ai_freq text answer to a 0-6 ordinal scale:</w:t>
      </w:r>
    </w:p>
    <w:tbl>
      <w:tblPr>
        <w:tblBorders>
          <w:top w:val="single" w:sz="4" w:space="0" w:color="CCCCCC"/>
          <w:start w:val="single" w:sz="4" w:space="0" w:color="CCCCCC"/>
          <w:bottom w:val="single" w:sz="4" w:space="0" w:color="CCCCCC"/>
          <w:end w:val="single" w:sz="4" w:space="0" w:color="CCCCCC"/>
          <w:insideH w:val="single" w:sz="4" w:space="0" w:color="CCCCCC"/>
          <w:insideV w:val="single" w:sz="4" w:space="0" w:color="CCCCCC"/>
        </w:tblBorders>
        <w:tblW w:type="auto" w:w="0"/>
        <w:jc w:val="center"/>
        <w:tblLook w:firstColumn="1" w:firstRow="1" w:lastColumn="0" w:lastRow="0" w:noHBand="0" w:noVBand="1" w:val="04A0"/>
      </w:tblPr>
      <w:tblGrid>
        <w:gridCol w:w="3120"/>
        <w:gridCol w:w="3120"/>
        <w:gridCol w:w="3120"/>
      </w:tblGrid>
      <w:tr>
        <w:tc>
          <w:tcPr>
            <w:tcW w:type="dxa" w:w="1008"/>
            <w:shd w:val="clear" w:color="auto" w:fill="1F4E79"/>
            <w:tcMar>
              <w:top w:w="100" w:type="dxa"/>
              <w:bottom w:w="100" w:type="dxa"/>
              <w:left w:w="150" w:type="dxa"/>
              <w:right w:w="150" w:type="dxa"/>
            </w:tcMar>
          </w:tcPr>
          <w:p>
            <w:pPr>
              <w:jc w:val="center"/>
            </w:pPr>
            <w:r>
              <w:rPr>
                <w:b/>
                <w:color w:val="FFFFFF"/>
                <w:sz w:val="19"/>
              </w:rPr>
              <w:t>Integer</w:t>
            </w:r>
          </w:p>
        </w:tc>
        <w:tc>
          <w:tcPr>
            <w:tcW w:type="dxa" w:w="1440"/>
            <w:shd w:val="clear" w:color="auto" w:fill="1F4E79"/>
            <w:tcMar>
              <w:top w:w="100" w:type="dxa"/>
              <w:bottom w:w="100" w:type="dxa"/>
              <w:left w:w="150" w:type="dxa"/>
              <w:right w:w="150" w:type="dxa"/>
            </w:tcMar>
          </w:tcPr>
          <w:p>
            <w:pPr>
              <w:jc w:val="left"/>
            </w:pPr>
            <w:r>
              <w:rPr>
                <w:b/>
                <w:color w:val="FFFFFF"/>
                <w:sz w:val="19"/>
              </w:rPr>
              <w:t>Label</w:t>
            </w:r>
          </w:p>
        </w:tc>
        <w:tc>
          <w:tcPr>
            <w:tcW w:type="dxa" w:w="6912"/>
            <w:shd w:val="clear" w:color="auto" w:fill="1F4E79"/>
            <w:tcMar>
              <w:top w:w="100" w:type="dxa"/>
              <w:bottom w:w="100" w:type="dxa"/>
              <w:left w:w="150" w:type="dxa"/>
              <w:right w:w="150" w:type="dxa"/>
            </w:tcMar>
          </w:tcPr>
          <w:p>
            <w:pPr>
              <w:jc w:val="left"/>
            </w:pPr>
            <w:r>
              <w:rPr>
                <w:b/>
                <w:color w:val="FFFFFF"/>
                <w:sz w:val="19"/>
              </w:rPr>
              <w:t>Raw text mapped</w:t>
            </w:r>
          </w:p>
        </w:tc>
      </w:tr>
      <w:tr>
        <w:tc>
          <w:tcPr>
            <w:tcW w:type="dxa" w:w="1008"/>
            <w:tcMar>
              <w:top w:w="70" w:type="dxa"/>
              <w:bottom w:w="70" w:type="dxa"/>
              <w:left w:w="150" w:type="dxa"/>
              <w:right w:w="150" w:type="dxa"/>
            </w:tcMar>
          </w:tcPr>
          <w:p>
            <w:pPr>
              <w:jc w:val="center"/>
            </w:pPr>
            <w:r>
              <w:rPr>
                <w:sz w:val="19"/>
              </w:rPr>
              <w:t>0</w:t>
            </w:r>
          </w:p>
        </w:tc>
        <w:tc>
          <w:tcPr>
            <w:tcW w:type="dxa" w:w="1440"/>
            <w:tcMar>
              <w:top w:w="70" w:type="dxa"/>
              <w:bottom w:w="70" w:type="dxa"/>
              <w:left w:w="150" w:type="dxa"/>
              <w:right w:w="150" w:type="dxa"/>
            </w:tcMar>
          </w:tcPr>
          <w:p>
            <w:pPr>
              <w:jc w:val="left"/>
            </w:pPr>
            <w:r>
              <w:rPr>
                <w:sz w:val="19"/>
              </w:rPr>
              <w:t>Never</w:t>
            </w:r>
          </w:p>
        </w:tc>
        <w:tc>
          <w:tcPr>
            <w:tcW w:type="dxa" w:w="6912"/>
            <w:tcMar>
              <w:top w:w="70" w:type="dxa"/>
              <w:bottom w:w="70" w:type="dxa"/>
              <w:left w:w="150" w:type="dxa"/>
              <w:right w:w="150" w:type="dxa"/>
            </w:tcMar>
          </w:tcPr>
          <w:p>
            <w:pPr>
              <w:jc w:val="left"/>
            </w:pPr>
            <w:r>
              <w:rPr>
                <w:sz w:val="19"/>
              </w:rPr>
              <w:t>“I have never used an AI assistant”</w:t>
            </w:r>
          </w:p>
        </w:tc>
      </w:tr>
      <w:tr>
        <w:tc>
          <w:tcPr>
            <w:tcW w:type="dxa" w:w="1008"/>
            <w:tcMar>
              <w:top w:w="70" w:type="dxa"/>
              <w:bottom w:w="70" w:type="dxa"/>
              <w:left w:w="150" w:type="dxa"/>
              <w:right w:w="150" w:type="dxa"/>
            </w:tcMar>
            <w:shd w:val="clear" w:color="auto" w:fill="F9F9F9"/>
          </w:tcPr>
          <w:p>
            <w:pPr>
              <w:jc w:val="center"/>
            </w:pPr>
            <w:r>
              <w:rPr>
                <w:sz w:val="19"/>
              </w:rPr>
              <w:t>1</w:t>
            </w:r>
          </w:p>
        </w:tc>
        <w:tc>
          <w:tcPr>
            <w:tcW w:type="dxa" w:w="1440"/>
            <w:tcMar>
              <w:top w:w="70" w:type="dxa"/>
              <w:bottom w:w="70" w:type="dxa"/>
              <w:left w:w="150" w:type="dxa"/>
              <w:right w:w="150" w:type="dxa"/>
            </w:tcMar>
            <w:shd w:val="clear" w:color="auto" w:fill="F9F9F9"/>
          </w:tcPr>
          <w:p>
            <w:pPr>
              <w:jc w:val="left"/>
            </w:pPr>
            <w:r>
              <w:rPr>
                <w:sz w:val="19"/>
              </w:rPr>
              <w:t>Rarely</w:t>
            </w:r>
          </w:p>
        </w:tc>
        <w:tc>
          <w:tcPr>
            <w:tcW w:type="dxa" w:w="6912"/>
            <w:tcMar>
              <w:top w:w="70" w:type="dxa"/>
              <w:bottom w:w="70" w:type="dxa"/>
              <w:left w:w="150" w:type="dxa"/>
              <w:right w:w="150" w:type="dxa"/>
            </w:tcMar>
            <w:shd w:val="clear" w:color="auto" w:fill="F9F9F9"/>
          </w:tcPr>
          <w:p>
            <w:pPr>
              <w:jc w:val="left"/>
            </w:pPr>
            <w:r>
              <w:rPr>
                <w:sz w:val="19"/>
              </w:rPr>
              <w:t>“Rarely”</w:t>
            </w:r>
          </w:p>
        </w:tc>
      </w:tr>
      <w:tr>
        <w:tc>
          <w:tcPr>
            <w:tcW w:type="dxa" w:w="1008"/>
            <w:tcMar>
              <w:top w:w="70" w:type="dxa"/>
              <w:bottom w:w="70" w:type="dxa"/>
              <w:left w:w="150" w:type="dxa"/>
              <w:right w:w="150" w:type="dxa"/>
            </w:tcMar>
          </w:tcPr>
          <w:p>
            <w:pPr>
              <w:jc w:val="center"/>
            </w:pPr>
            <w:r>
              <w:rPr>
                <w:sz w:val="19"/>
              </w:rPr>
              <w:t>2</w:t>
            </w:r>
          </w:p>
        </w:tc>
        <w:tc>
          <w:tcPr>
            <w:tcW w:type="dxa" w:w="1440"/>
            <w:tcMar>
              <w:top w:w="70" w:type="dxa"/>
              <w:bottom w:w="70" w:type="dxa"/>
              <w:left w:w="150" w:type="dxa"/>
              <w:right w:w="150" w:type="dxa"/>
            </w:tcMar>
          </w:tcPr>
          <w:p>
            <w:pPr>
              <w:jc w:val="left"/>
            </w:pPr>
            <w:r>
              <w:rPr>
                <w:sz w:val="19"/>
              </w:rPr>
              <w:t>Monthly</w:t>
            </w:r>
          </w:p>
        </w:tc>
        <w:tc>
          <w:tcPr>
            <w:tcW w:type="dxa" w:w="6912"/>
            <w:tcMar>
              <w:top w:w="70" w:type="dxa"/>
              <w:bottom w:w="70" w:type="dxa"/>
              <w:left w:w="150" w:type="dxa"/>
              <w:right w:w="150" w:type="dxa"/>
            </w:tcMar>
          </w:tcPr>
          <w:p>
            <w:pPr>
              <w:jc w:val="left"/>
            </w:pPr>
            <w:r>
              <w:rPr>
                <w:sz w:val="19"/>
              </w:rPr>
              <w:t>“A few times a month”</w:t>
            </w:r>
          </w:p>
        </w:tc>
      </w:tr>
      <w:tr>
        <w:tc>
          <w:tcPr>
            <w:tcW w:type="dxa" w:w="1008"/>
            <w:tcMar>
              <w:top w:w="70" w:type="dxa"/>
              <w:bottom w:w="70" w:type="dxa"/>
              <w:left w:w="150" w:type="dxa"/>
              <w:right w:w="150" w:type="dxa"/>
            </w:tcMar>
            <w:shd w:val="clear" w:color="auto" w:fill="F9F9F9"/>
          </w:tcPr>
          <w:p>
            <w:pPr>
              <w:jc w:val="center"/>
            </w:pPr>
            <w:r>
              <w:rPr>
                <w:sz w:val="19"/>
              </w:rPr>
              <w:t>3</w:t>
            </w:r>
          </w:p>
        </w:tc>
        <w:tc>
          <w:tcPr>
            <w:tcW w:type="dxa" w:w="1440"/>
            <w:tcMar>
              <w:top w:w="70" w:type="dxa"/>
              <w:bottom w:w="70" w:type="dxa"/>
              <w:left w:w="150" w:type="dxa"/>
              <w:right w:w="150" w:type="dxa"/>
            </w:tcMar>
            <w:shd w:val="clear" w:color="auto" w:fill="F9F9F9"/>
          </w:tcPr>
          <w:p>
            <w:pPr>
              <w:jc w:val="left"/>
            </w:pPr>
            <w:r>
              <w:rPr>
                <w:sz w:val="19"/>
              </w:rPr>
              <w:t>Weekly</w:t>
            </w:r>
          </w:p>
        </w:tc>
        <w:tc>
          <w:tcPr>
            <w:tcW w:type="dxa" w:w="6912"/>
            <w:tcMar>
              <w:top w:w="70" w:type="dxa"/>
              <w:bottom w:w="70" w:type="dxa"/>
              <w:left w:w="150" w:type="dxa"/>
              <w:right w:w="150" w:type="dxa"/>
            </w:tcMar>
            <w:shd w:val="clear" w:color="auto" w:fill="F9F9F9"/>
          </w:tcPr>
          <w:p>
            <w:pPr>
              <w:jc w:val="left"/>
            </w:pPr>
            <w:r>
              <w:rPr>
                <w:sz w:val="19"/>
              </w:rPr>
              <w:t>“Several days a week”</w:t>
            </w:r>
          </w:p>
        </w:tc>
      </w:tr>
      <w:tr>
        <w:tc>
          <w:tcPr>
            <w:tcW w:type="dxa" w:w="1008"/>
            <w:tcMar>
              <w:top w:w="70" w:type="dxa"/>
              <w:bottom w:w="70" w:type="dxa"/>
              <w:left w:w="150" w:type="dxa"/>
              <w:right w:w="150" w:type="dxa"/>
            </w:tcMar>
          </w:tcPr>
          <w:p>
            <w:pPr>
              <w:jc w:val="center"/>
            </w:pPr>
            <w:r>
              <w:rPr>
                <w:sz w:val="19"/>
              </w:rPr>
              <w:t>4</w:t>
            </w:r>
          </w:p>
        </w:tc>
        <w:tc>
          <w:tcPr>
            <w:tcW w:type="dxa" w:w="1440"/>
            <w:tcMar>
              <w:top w:w="70" w:type="dxa"/>
              <w:bottom w:w="70" w:type="dxa"/>
              <w:left w:w="150" w:type="dxa"/>
              <w:right w:w="150" w:type="dxa"/>
            </w:tcMar>
          </w:tcPr>
          <w:p>
            <w:pPr>
              <w:jc w:val="left"/>
            </w:pPr>
            <w:r>
              <w:rPr>
                <w:sz w:val="19"/>
              </w:rPr>
              <w:t>Daily</w:t>
            </w:r>
          </w:p>
        </w:tc>
        <w:tc>
          <w:tcPr>
            <w:tcW w:type="dxa" w:w="6912"/>
            <w:tcMar>
              <w:top w:w="70" w:type="dxa"/>
              <w:bottom w:w="70" w:type="dxa"/>
              <w:left w:w="150" w:type="dxa"/>
              <w:right w:w="150" w:type="dxa"/>
            </w:tcMar>
          </w:tcPr>
          <w:p>
            <w:pPr>
              <w:jc w:val="left"/>
            </w:pPr>
            <w:r>
              <w:rPr>
                <w:sz w:val="19"/>
              </w:rPr>
              <w:t>“Several times a day”</w:t>
            </w:r>
          </w:p>
        </w:tc>
      </w:tr>
      <w:tr>
        <w:tc>
          <w:tcPr>
            <w:tcW w:type="dxa" w:w="1008"/>
            <w:tcMar>
              <w:top w:w="70" w:type="dxa"/>
              <w:bottom w:w="70" w:type="dxa"/>
              <w:left w:w="150" w:type="dxa"/>
              <w:right w:w="150" w:type="dxa"/>
            </w:tcMar>
            <w:shd w:val="clear" w:color="auto" w:fill="F9F9F9"/>
          </w:tcPr>
          <w:p>
            <w:pPr>
              <w:jc w:val="center"/>
            </w:pPr>
            <w:r>
              <w:rPr>
                <w:sz w:val="19"/>
              </w:rPr>
              <w:t>5</w:t>
            </w:r>
          </w:p>
        </w:tc>
        <w:tc>
          <w:tcPr>
            <w:tcW w:type="dxa" w:w="1440"/>
            <w:tcMar>
              <w:top w:w="70" w:type="dxa"/>
              <w:bottom w:w="70" w:type="dxa"/>
              <w:left w:w="150" w:type="dxa"/>
              <w:right w:w="150" w:type="dxa"/>
            </w:tcMar>
            <w:shd w:val="clear" w:color="auto" w:fill="F9F9F9"/>
          </w:tcPr>
          <w:p>
            <w:pPr>
              <w:jc w:val="left"/>
            </w:pPr>
            <w:r>
              <w:rPr>
                <w:sz w:val="19"/>
              </w:rPr>
              <w:t>Constantly</w:t>
            </w:r>
          </w:p>
        </w:tc>
        <w:tc>
          <w:tcPr>
            <w:tcW w:type="dxa" w:w="6912"/>
            <w:tcMar>
              <w:top w:w="70" w:type="dxa"/>
              <w:bottom w:w="70" w:type="dxa"/>
              <w:left w:w="150" w:type="dxa"/>
              <w:right w:w="150" w:type="dxa"/>
            </w:tcMar>
            <w:shd w:val="clear" w:color="auto" w:fill="F9F9F9"/>
          </w:tcPr>
          <w:p>
            <w:pPr>
              <w:jc w:val="left"/>
            </w:pPr>
            <w:r>
              <w:rPr>
                <w:sz w:val="19"/>
              </w:rPr>
              <w:t>“Constantly”, “Constamment”, “Constantly (when awake)”</w:t>
            </w:r>
          </w:p>
        </w:tc>
      </w:tr>
      <w:tr>
        <w:tc>
          <w:tcPr>
            <w:tcW w:type="dxa" w:w="1008"/>
            <w:tcMar>
              <w:top w:w="70" w:type="dxa"/>
              <w:bottom w:w="70" w:type="dxa"/>
              <w:left w:w="150" w:type="dxa"/>
              <w:right w:w="150" w:type="dxa"/>
            </w:tcMar>
          </w:tcPr>
          <w:p>
            <w:pPr>
              <w:jc w:val="center"/>
            </w:pPr>
            <w:r>
              <w:rPr>
                <w:sz w:val="19"/>
              </w:rPr>
              <w:t>6</w:t>
            </w:r>
          </w:p>
        </w:tc>
        <w:tc>
          <w:tcPr>
            <w:tcW w:type="dxa" w:w="1440"/>
            <w:tcMar>
              <w:top w:w="70" w:type="dxa"/>
              <w:bottom w:w="70" w:type="dxa"/>
              <w:left w:w="150" w:type="dxa"/>
              <w:right w:w="150" w:type="dxa"/>
            </w:tcMar>
          </w:tcPr>
          <w:p>
            <w:pPr>
              <w:jc w:val="left"/>
            </w:pPr>
            <w:r>
              <w:rPr>
                <w:sz w:val="19"/>
              </w:rPr>
              <w:t>Always</w:t>
            </w:r>
          </w:p>
        </w:tc>
        <w:tc>
          <w:tcPr>
            <w:tcW w:type="dxa" w:w="6912"/>
            <w:tcMar>
              <w:top w:w="70" w:type="dxa"/>
              <w:bottom w:w="70" w:type="dxa"/>
              <w:left w:w="150" w:type="dxa"/>
              <w:right w:w="150" w:type="dxa"/>
            </w:tcMar>
          </w:tcPr>
          <w:p>
            <w:pPr>
              <w:jc w:val="left"/>
            </w:pPr>
            <w:r>
              <w:rPr>
                <w:sz w:val="19"/>
              </w:rPr>
              <w:t>“All of the time”</w:t>
            </w:r>
          </w:p>
        </w:tc>
      </w:tr>
      <w:tr>
        <w:tc>
          <w:tcPr>
            <w:tcW w:type="dxa" w:w="1008"/>
            <w:tcMar>
              <w:top w:w="70" w:type="dxa"/>
              <w:bottom w:w="70" w:type="dxa"/>
              <w:left w:w="150" w:type="dxa"/>
              <w:right w:w="150" w:type="dxa"/>
            </w:tcMar>
            <w:shd w:val="clear" w:color="auto" w:fill="F9F9F9"/>
          </w:tcPr>
          <w:p>
            <w:pPr>
              <w:jc w:val="center"/>
            </w:pPr>
            <w:r>
              <w:rPr>
                <w:sz w:val="19"/>
              </w:rPr>
              <w:t>—</w:t>
            </w:r>
          </w:p>
        </w:tc>
        <w:tc>
          <w:tcPr>
            <w:tcW w:type="dxa" w:w="1440"/>
            <w:tcMar>
              <w:top w:w="70" w:type="dxa"/>
              <w:bottom w:w="70" w:type="dxa"/>
              <w:left w:w="150" w:type="dxa"/>
              <w:right w:w="150" w:type="dxa"/>
            </w:tcMar>
            <w:shd w:val="clear" w:color="auto" w:fill="F9F9F9"/>
          </w:tcPr>
          <w:p>
            <w:pPr>
              <w:jc w:val="left"/>
            </w:pPr>
            <w:r>
              <w:rPr>
                <w:sz w:val="19"/>
              </w:rPr>
              <w:t>null</w:t>
            </w:r>
          </w:p>
        </w:tc>
        <w:tc>
          <w:tcPr>
            <w:tcW w:type="dxa" w:w="6912"/>
            <w:tcMar>
              <w:top w:w="70" w:type="dxa"/>
              <w:bottom w:w="70" w:type="dxa"/>
              <w:left w:w="150" w:type="dxa"/>
              <w:right w:w="150" w:type="dxa"/>
            </w:tcMar>
            <w:shd w:val="clear" w:color="auto" w:fill="F9F9F9"/>
          </w:tcPr>
          <w:p>
            <w:pPr>
              <w:jc w:val="left"/>
            </w:pPr>
            <w:r>
              <w:rPr>
                <w:sz w:val="19"/>
              </w:rPr>
              <w:t>“N/A” or anything not recognised</w:t>
            </w:r>
          </w:p>
        </w:tc>
      </w:tr>
    </w:tbl>
    <w:p>
      <w:pPr>
        <w:keepNext/>
        <w:spacing w:before="280" w:after="80"/>
      </w:pPr>
      <w:r>
        <w:rPr>
          <w:b/>
          <w:color w:val="2E74B5"/>
          <w:sz w:val="24"/>
        </w:rPr>
        <w:t>1.2  User Status (is_user)</w:t>
      </w:r>
    </w:p>
    <w:p>
      <w:pPr>
        <w:spacing w:after="120" w:line="288" w:lineRule="auto"/>
      </w:pPr>
      <w:r>
        <w:t>A boolean identifying whether the respondent uses AI at all:</w:t>
      </w:r>
    </w:p>
    <w:p>
      <w:pPr>
        <w:spacing w:before="120" w:after="240"/>
        <w:jc w:val="left"/>
      </w:pPr>
      <m:oMathPara>
        <m:oMath>
          <m:sSub>
            <m:e>
              <m:r>
                <m:t>is</m:t>
              </m:r>
            </m:e>
            <m:sub>
              <m:r>
                <m:t>user</m:t>
              </m:r>
            </m:sub>
          </m:sSub>
          <m:r>
            <m:t> = </m:t>
          </m:r>
          <m:r>
            <m:t>𝟙</m:t>
          </m:r>
          <m:d>
            <m:dPr>
              <m:begChr m:val="["/>
              <m:endChr m:val="]"/>
            </m:dPr>
            <m:e>
              <m:sSub>
                <m:e>
                  <m:r>
                    <m:t>ai_freq</m:t>
                  </m:r>
                </m:e>
                <m:sub>
                  <m:r>
                    <m:t>int</m:t>
                  </m:r>
                </m:sub>
              </m:sSub>
              <m:r>
                <m:t> ≥ 1</m:t>
              </m:r>
            </m:e>
          </m:d>
        </m:oMath>
      </m:oMathPara>
    </w:p>
    <w:p>
      <w:pPr>
        <w:spacing w:after="120" w:line="288" w:lineRule="auto"/>
      </w:pPr>
      <w:r>
        <w:t>A respondent at level 0 (“Never”) is not an AI user.</w:t>
      </w:r>
    </w:p>
    <w:p>
      <w:pPr>
        <w:keepNext/>
        <w:spacing w:before="280" w:after="80"/>
      </w:pPr>
      <w:r>
        <w:rPr>
          <w:b/>
          <w:color w:val="2E74B5"/>
          <w:sz w:val="24"/>
        </w:rPr>
        <w:t>1.3  Impact Flags (from ai_impact_work)</w:t>
      </w:r>
    </w:p>
    <w:p>
      <w:pPr>
        <w:spacing w:after="120" w:line="288" w:lineRule="auto"/>
      </w:pPr>
      <w:r>
        <w:t>The pipe-delimited ai_impact_work answer is split into nine boolean columns; each respondent can have multiple flags set true.</w:t>
      </w:r>
    </w:p>
    <w:tbl>
      <w:tblPr>
        <w:tblBorders>
          <w:top w:val="single" w:sz="4" w:space="0" w:color="CCCCCC"/>
          <w:start w:val="single" w:sz="4" w:space="0" w:color="CCCCCC"/>
          <w:bottom w:val="single" w:sz="4" w:space="0" w:color="CCCCCC"/>
          <w:end w:val="single" w:sz="4" w:space="0" w:color="CCCCCC"/>
          <w:insideH w:val="single" w:sz="4" w:space="0" w:color="CCCCCC"/>
          <w:insideV w:val="single" w:sz="4" w:space="0" w:color="CCCCCC"/>
        </w:tblBorders>
        <w:tblW w:type="auto" w:w="0"/>
        <w:jc w:val="center"/>
        <w:tblLook w:firstColumn="1" w:firstRow="1" w:lastColumn="0" w:lastRow="0" w:noHBand="0" w:noVBand="1" w:val="04A0"/>
      </w:tblPr>
      <w:tblGrid>
        <w:gridCol w:w="4680"/>
        <w:gridCol w:w="4680"/>
      </w:tblGrid>
      <w:tr>
        <w:tc>
          <w:tcPr>
            <w:tcW w:type="dxa" w:w="3600"/>
            <w:shd w:val="clear" w:color="auto" w:fill="1F4E79"/>
            <w:tcMar>
              <w:top w:w="100" w:type="dxa"/>
              <w:bottom w:w="100" w:type="dxa"/>
              <w:left w:w="150" w:type="dxa"/>
              <w:right w:w="150" w:type="dxa"/>
            </w:tcMar>
          </w:tcPr>
          <w:p>
            <w:pPr>
              <w:jc w:val="left"/>
            </w:pPr>
            <w:r>
              <w:rPr>
                <w:b/>
                <w:color w:val="FFFFFF"/>
                <w:sz w:val="19"/>
              </w:rPr>
              <w:t>Flag</w:t>
            </w:r>
          </w:p>
        </w:tc>
        <w:tc>
          <w:tcPr>
            <w:tcW w:type="dxa" w:w="5760"/>
            <w:shd w:val="clear" w:color="auto" w:fill="1F4E79"/>
            <w:tcMar>
              <w:top w:w="100" w:type="dxa"/>
              <w:bottom w:w="100" w:type="dxa"/>
              <w:left w:w="150" w:type="dxa"/>
              <w:right w:w="150" w:type="dxa"/>
            </w:tcMar>
          </w:tcPr>
          <w:p>
            <w:pPr>
              <w:jc w:val="left"/>
            </w:pPr>
            <w:r>
              <w:rPr>
                <w:b/>
                <w:color w:val="FFFFFF"/>
                <w:sz w:val="19"/>
              </w:rPr>
              <w:t>Triggered by answer</w:t>
            </w:r>
          </w:p>
        </w:tc>
      </w:tr>
      <w:tr>
        <w:tc>
          <w:tcPr>
            <w:tcW w:type="dxa" w:w="3600"/>
            <w:tcMar>
              <w:top w:w="70" w:type="dxa"/>
              <w:bottom w:w="70" w:type="dxa"/>
              <w:left w:w="150" w:type="dxa"/>
              <w:right w:w="150" w:type="dxa"/>
            </w:tcMar>
          </w:tcPr>
          <w:p>
            <w:pPr>
              <w:jc w:val="left"/>
            </w:pPr>
            <w:r>
              <w:rPr>
                <w:rFonts w:ascii="Consolas" w:hAnsi="Consolas"/>
                <w:sz w:val="18"/>
              </w:rPr>
              <w:t>impact_improved_quality</w:t>
            </w:r>
          </w:p>
        </w:tc>
        <w:tc>
          <w:tcPr>
            <w:tcW w:type="dxa" w:w="5760"/>
            <w:tcMar>
              <w:top w:w="70" w:type="dxa"/>
              <w:bottom w:w="70" w:type="dxa"/>
              <w:left w:w="150" w:type="dxa"/>
              <w:right w:w="150" w:type="dxa"/>
            </w:tcMar>
          </w:tcPr>
          <w:p>
            <w:pPr>
              <w:jc w:val="left"/>
            </w:pPr>
            <w:r>
              <w:rPr>
                <w:sz w:val="19"/>
              </w:rPr>
              <w:t>“Improved my work quality or output”</w:t>
            </w:r>
          </w:p>
        </w:tc>
      </w:tr>
      <w:tr>
        <w:tc>
          <w:tcPr>
            <w:tcW w:type="dxa" w:w="3600"/>
            <w:tcMar>
              <w:top w:w="70" w:type="dxa"/>
              <w:bottom w:w="70" w:type="dxa"/>
              <w:left w:w="150" w:type="dxa"/>
              <w:right w:w="150" w:type="dxa"/>
            </w:tcMar>
            <w:shd w:val="clear" w:color="auto" w:fill="F9F9F9"/>
          </w:tcPr>
          <w:p>
            <w:pPr>
              <w:jc w:val="left"/>
            </w:pPr>
            <w:r>
              <w:rPr>
                <w:rFonts w:ascii="Consolas" w:hAnsi="Consolas"/>
                <w:sz w:val="18"/>
              </w:rPr>
              <w:t>impact_new_opportunities</w:t>
            </w:r>
          </w:p>
        </w:tc>
        <w:tc>
          <w:tcPr>
            <w:tcW w:type="dxa" w:w="5760"/>
            <w:tcMar>
              <w:top w:w="70" w:type="dxa"/>
              <w:bottom w:w="70" w:type="dxa"/>
              <w:left w:w="150" w:type="dxa"/>
              <w:right w:w="150" w:type="dxa"/>
            </w:tcMar>
            <w:shd w:val="clear" w:color="auto" w:fill="F9F9F9"/>
          </w:tcPr>
          <w:p>
            <w:pPr>
              <w:jc w:val="left"/>
            </w:pPr>
            <w:r>
              <w:rPr>
                <w:sz w:val="19"/>
              </w:rPr>
              <w:t>“Created new job or income opportunities”</w:t>
            </w:r>
          </w:p>
        </w:tc>
      </w:tr>
      <w:tr>
        <w:tc>
          <w:tcPr>
            <w:tcW w:type="dxa" w:w="3600"/>
            <w:tcMar>
              <w:top w:w="70" w:type="dxa"/>
              <w:bottom w:w="70" w:type="dxa"/>
              <w:left w:w="150" w:type="dxa"/>
              <w:right w:w="150" w:type="dxa"/>
            </w:tcMar>
          </w:tcPr>
          <w:p>
            <w:pPr>
              <w:jc w:val="left"/>
            </w:pPr>
            <w:r>
              <w:rPr>
                <w:rFonts w:ascii="Consolas" w:hAnsi="Consolas"/>
                <w:sz w:val="18"/>
              </w:rPr>
              <w:t>impact_adaptation_pressure</w:t>
            </w:r>
          </w:p>
        </w:tc>
        <w:tc>
          <w:tcPr>
            <w:tcW w:type="dxa" w:w="5760"/>
            <w:tcMar>
              <w:top w:w="70" w:type="dxa"/>
              <w:bottom w:w="70" w:type="dxa"/>
              <w:left w:w="150" w:type="dxa"/>
              <w:right w:w="150" w:type="dxa"/>
            </w:tcMar>
          </w:tcPr>
          <w:p>
            <w:pPr>
              <w:jc w:val="left"/>
            </w:pPr>
            <w:r>
              <w:rPr>
                <w:sz w:val="19"/>
              </w:rPr>
              <w:t>“Increased pressure to adapt or work faster”</w:t>
            </w:r>
          </w:p>
        </w:tc>
      </w:tr>
      <w:tr>
        <w:tc>
          <w:tcPr>
            <w:tcW w:type="dxa" w:w="3600"/>
            <w:tcMar>
              <w:top w:w="70" w:type="dxa"/>
              <w:bottom w:w="70" w:type="dxa"/>
              <w:left w:w="150" w:type="dxa"/>
              <w:right w:w="150" w:type="dxa"/>
            </w:tcMar>
            <w:shd w:val="clear" w:color="auto" w:fill="F9F9F9"/>
          </w:tcPr>
          <w:p>
            <w:pPr>
              <w:jc w:val="left"/>
            </w:pPr>
            <w:r>
              <w:rPr>
                <w:rFonts w:ascii="Consolas" w:hAnsi="Consolas"/>
                <w:sz w:val="18"/>
              </w:rPr>
              <w:t>impact_job_anxiety</w:t>
            </w:r>
          </w:p>
        </w:tc>
        <w:tc>
          <w:tcPr>
            <w:tcW w:type="dxa" w:w="5760"/>
            <w:tcMar>
              <w:top w:w="70" w:type="dxa"/>
              <w:bottom w:w="70" w:type="dxa"/>
              <w:left w:w="150" w:type="dxa"/>
              <w:right w:w="150" w:type="dxa"/>
            </w:tcMar>
            <w:shd w:val="clear" w:color="auto" w:fill="F9F9F9"/>
          </w:tcPr>
          <w:p>
            <w:pPr>
              <w:jc w:val="left"/>
            </w:pPr>
            <w:r>
              <w:rPr>
                <w:sz w:val="19"/>
              </w:rPr>
              <w:t>“Made me worry about the future of my job or industry”</w:t>
            </w:r>
          </w:p>
        </w:tc>
      </w:tr>
      <w:tr>
        <w:tc>
          <w:tcPr>
            <w:tcW w:type="dxa" w:w="3600"/>
            <w:tcMar>
              <w:top w:w="70" w:type="dxa"/>
              <w:bottom w:w="70" w:type="dxa"/>
              <w:left w:w="150" w:type="dxa"/>
              <w:right w:w="150" w:type="dxa"/>
            </w:tcMar>
          </w:tcPr>
          <w:p>
            <w:pPr>
              <w:jc w:val="left"/>
            </w:pPr>
            <w:r>
              <w:rPr>
                <w:rFonts w:ascii="Consolas" w:hAnsi="Consolas"/>
                <w:sz w:val="18"/>
              </w:rPr>
              <w:t>impact_job_loss</w:t>
            </w:r>
          </w:p>
        </w:tc>
        <w:tc>
          <w:tcPr>
            <w:tcW w:type="dxa" w:w="5760"/>
            <w:tcMar>
              <w:top w:w="70" w:type="dxa"/>
              <w:bottom w:w="70" w:type="dxa"/>
              <w:left w:w="150" w:type="dxa"/>
              <w:right w:w="150" w:type="dxa"/>
            </w:tcMar>
          </w:tcPr>
          <w:p>
            <w:pPr>
              <w:jc w:val="left"/>
            </w:pPr>
            <w:r>
              <w:rPr>
                <w:sz w:val="19"/>
              </w:rPr>
              <w:t>“Caused me to lose my job”</w:t>
            </w:r>
          </w:p>
        </w:tc>
      </w:tr>
      <w:tr>
        <w:tc>
          <w:tcPr>
            <w:tcW w:type="dxa" w:w="3600"/>
            <w:tcMar>
              <w:top w:w="70" w:type="dxa"/>
              <w:bottom w:w="70" w:type="dxa"/>
              <w:left w:w="150" w:type="dxa"/>
              <w:right w:w="150" w:type="dxa"/>
            </w:tcMar>
            <w:shd w:val="clear" w:color="auto" w:fill="F9F9F9"/>
          </w:tcPr>
          <w:p>
            <w:pPr>
              <w:jc w:val="left"/>
            </w:pPr>
            <w:r>
              <w:rPr>
                <w:rFonts w:ascii="Consolas" w:hAnsi="Consolas"/>
                <w:sz w:val="18"/>
              </w:rPr>
              <w:t>impact_reduced_income</w:t>
            </w:r>
          </w:p>
        </w:tc>
        <w:tc>
          <w:tcPr>
            <w:tcW w:type="dxa" w:w="5760"/>
            <w:tcMar>
              <w:top w:w="70" w:type="dxa"/>
              <w:bottom w:w="70" w:type="dxa"/>
              <w:left w:w="150" w:type="dxa"/>
              <w:right w:w="150" w:type="dxa"/>
            </w:tcMar>
            <w:shd w:val="clear" w:color="auto" w:fill="F9F9F9"/>
          </w:tcPr>
          <w:p>
            <w:pPr>
              <w:jc w:val="left"/>
            </w:pPr>
            <w:r>
              <w:rPr>
                <w:sz w:val="19"/>
              </w:rPr>
              <w:t>“Reduced my income or made it harder to find work”</w:t>
            </w:r>
          </w:p>
        </w:tc>
      </w:tr>
      <w:tr>
        <w:tc>
          <w:tcPr>
            <w:tcW w:type="dxa" w:w="3600"/>
            <w:tcMar>
              <w:top w:w="70" w:type="dxa"/>
              <w:bottom w:w="70" w:type="dxa"/>
              <w:left w:w="150" w:type="dxa"/>
              <w:right w:w="150" w:type="dxa"/>
            </w:tcMar>
          </w:tcPr>
          <w:p>
            <w:pPr>
              <w:jc w:val="left"/>
            </w:pPr>
            <w:r>
              <w:rPr>
                <w:rFonts w:ascii="Consolas" w:hAnsi="Consolas"/>
                <w:sz w:val="18"/>
              </w:rPr>
              <w:t>impact_none</w:t>
            </w:r>
          </w:p>
        </w:tc>
        <w:tc>
          <w:tcPr>
            <w:tcW w:type="dxa" w:w="5760"/>
            <w:tcMar>
              <w:top w:w="70" w:type="dxa"/>
              <w:bottom w:w="70" w:type="dxa"/>
              <w:left w:w="150" w:type="dxa"/>
              <w:right w:w="150" w:type="dxa"/>
            </w:tcMar>
          </w:tcPr>
          <w:p>
            <w:pPr>
              <w:jc w:val="left"/>
            </w:pPr>
            <w:r>
              <w:rPr>
                <w:sz w:val="19"/>
              </w:rPr>
              <w:t>“No impact”</w:t>
            </w:r>
          </w:p>
        </w:tc>
      </w:tr>
      <w:tr>
        <w:tc>
          <w:tcPr>
            <w:tcW w:type="dxa" w:w="3600"/>
            <w:tcMar>
              <w:top w:w="70" w:type="dxa"/>
              <w:bottom w:w="70" w:type="dxa"/>
              <w:left w:w="150" w:type="dxa"/>
              <w:right w:w="150" w:type="dxa"/>
            </w:tcMar>
            <w:shd w:val="clear" w:color="auto" w:fill="F9F9F9"/>
          </w:tcPr>
          <w:p>
            <w:pPr>
              <w:jc w:val="left"/>
            </w:pPr>
            <w:r>
              <w:rPr>
                <w:rFonts w:ascii="Consolas" w:hAnsi="Consolas"/>
                <w:sz w:val="18"/>
              </w:rPr>
              <w:t>impact_other</w:t>
            </w:r>
          </w:p>
        </w:tc>
        <w:tc>
          <w:tcPr>
            <w:tcW w:type="dxa" w:w="5760"/>
            <w:tcMar>
              <w:top w:w="70" w:type="dxa"/>
              <w:bottom w:w="70" w:type="dxa"/>
              <w:left w:w="150" w:type="dxa"/>
              <w:right w:w="150" w:type="dxa"/>
            </w:tcMar>
            <w:shd w:val="clear" w:color="auto" w:fill="F9F9F9"/>
          </w:tcPr>
          <w:p>
            <w:pPr>
              <w:jc w:val="left"/>
            </w:pPr>
            <w:r>
              <w:rPr>
                <w:sz w:val="19"/>
              </w:rPr>
              <w:t>“Another impact not listed here” (plus any unknown raw option)</w:t>
            </w:r>
          </w:p>
        </w:tc>
      </w:tr>
      <w:tr>
        <w:tc>
          <w:tcPr>
            <w:tcW w:type="dxa" w:w="3600"/>
            <w:tcMar>
              <w:top w:w="70" w:type="dxa"/>
              <w:bottom w:w="70" w:type="dxa"/>
              <w:left w:w="150" w:type="dxa"/>
              <w:right w:w="150" w:type="dxa"/>
            </w:tcMar>
          </w:tcPr>
          <w:p>
            <w:pPr>
              <w:jc w:val="left"/>
            </w:pPr>
            <w:r>
              <w:rPr>
                <w:rFonts w:ascii="Consolas" w:hAnsi="Consolas"/>
                <w:sz w:val="18"/>
              </w:rPr>
              <w:t>impact_not_sure</w:t>
            </w:r>
          </w:p>
        </w:tc>
        <w:tc>
          <w:tcPr>
            <w:tcW w:type="dxa" w:w="5760"/>
            <w:tcMar>
              <w:top w:w="70" w:type="dxa"/>
              <w:bottom w:w="70" w:type="dxa"/>
              <w:left w:w="150" w:type="dxa"/>
              <w:right w:w="150" w:type="dxa"/>
            </w:tcMar>
          </w:tcPr>
          <w:p>
            <w:pPr>
              <w:jc w:val="left"/>
            </w:pPr>
            <w:r>
              <w:rPr>
                <w:sz w:val="19"/>
              </w:rPr>
              <w:t>“Not sure”</w:t>
            </w:r>
          </w:p>
        </w:tc>
      </w:tr>
      <w:tr>
        <w:tc>
          <w:tcPr>
            <w:tcW w:type="dxa" w:w="3600"/>
            <w:tcMar>
              <w:top w:w="70" w:type="dxa"/>
              <w:bottom w:w="70" w:type="dxa"/>
              <w:left w:w="150" w:type="dxa"/>
              <w:right w:w="150" w:type="dxa"/>
            </w:tcMar>
            <w:shd w:val="clear" w:color="auto" w:fill="F9F9F9"/>
          </w:tcPr>
          <w:p>
            <w:pPr>
              <w:jc w:val="left"/>
            </w:pPr>
            <w:r>
              <w:rPr>
                <w:rFonts w:ascii="Consolas" w:hAnsi="Consolas"/>
                <w:sz w:val="18"/>
              </w:rPr>
              <w:t>impact_na</w:t>
            </w:r>
          </w:p>
        </w:tc>
        <w:tc>
          <w:tcPr>
            <w:tcW w:type="dxa" w:w="5760"/>
            <w:tcMar>
              <w:top w:w="70" w:type="dxa"/>
              <w:bottom w:w="70" w:type="dxa"/>
              <w:left w:w="150" w:type="dxa"/>
              <w:right w:w="150" w:type="dxa"/>
            </w:tcMar>
            <w:shd w:val="clear" w:color="auto" w:fill="F9F9F9"/>
          </w:tcPr>
          <w:p>
            <w:pPr>
              <w:jc w:val="left"/>
            </w:pPr>
            <w:r>
              <w:rPr>
                <w:sz w:val="19"/>
              </w:rPr>
              <w:t>Raw value was null / N/A / blank</w:t>
            </w:r>
          </w:p>
        </w:tc>
      </w:tr>
    </w:tbl>
    <w:p>
      <w:pPr>
        <w:spacing w:after="120" w:line="288" w:lineRule="auto"/>
      </w:pPr>
      <w:r>
        <w:t>Two derived boolean columns roll the flags into directional vectors:</w:t>
      </w:r>
    </w:p>
    <w:p>
      <w:pPr>
        <w:pStyle w:val="ListBullet"/>
        <w:spacing w:after="60" w:line="276" w:lineRule="auto"/>
      </w:pPr>
      <w:r>
        <w:rPr>
          <w:b/>
        </w:rPr>
        <w:t xml:space="preserve">Positive (is_positive):  </w:t>
      </w:r>
      <w:r>
        <w:t>impact_improved_quality  OR  impact_new_opportunities</w:t>
      </w:r>
    </w:p>
    <w:p>
      <w:pPr>
        <w:pStyle w:val="ListBullet"/>
        <w:spacing w:after="60" w:line="276" w:lineRule="auto"/>
      </w:pPr>
      <w:r>
        <w:rPr>
          <w:b/>
        </w:rPr>
        <w:t xml:space="preserve">Negative (is_negative):  </w:t>
      </w:r>
      <w:r>
        <w:t>impact_adaptation_pressure  OR  impact_job_anxiety  OR  impact_job_loss  OR  impact_reduced_income</w:t>
      </w:r>
    </w:p>
    <w:p>
      <w:pPr>
        <w:spacing w:after="120" w:line="288" w:lineRule="auto"/>
      </w:pPr>
      <w:r>
        <w:t>impact_none, impact_other, impact_not_sure, and impact_na are treated as neither positive nor negative.</w:t>
      </w:r>
    </w:p>
    <w:p>
      <w:pPr>
        <w:keepNext/>
        <w:spacing w:before="480" w:after="160"/>
        <w:pBdr>
          <w:bottom w:val="single" w:sz="6" w:space="4" w:color="1F4E79"/>
        </w:pBdr>
      </w:pPr>
      <w:r>
        <w:rPr>
          <w:b/>
          <w:color w:val="1F4E79"/>
          <w:sz w:val="30"/>
        </w:rPr>
        <w:t>2. Core Population Indicators</w:t>
      </w:r>
    </w:p>
    <w:p>
      <w:pPr>
        <w:spacing w:after="120" w:line="288" w:lineRule="auto"/>
      </w:pPr>
      <w:r>
        <w:t>These base descriptive metrics are calculated independently for every demographic stratum and month block.</w:t>
      </w:r>
    </w:p>
    <w:p>
      <w:pPr>
        <w:keepNext/>
        <w:spacing w:before="280" w:after="80"/>
      </w:pPr>
      <w:r>
        <w:rPr>
          <w:b/>
          <w:color w:val="2E74B5"/>
          <w:sz w:val="24"/>
        </w:rPr>
        <w:t>2.1  Total Respondent Count (N)</w:t>
      </w:r>
    </w:p>
    <w:p>
      <w:pPr>
        <w:spacing w:after="120" w:line="288" w:lineRule="auto"/>
      </w:pPr>
      <w:r>
        <w:t>The absolute headcount of all individuals who completed the survey inside a designated stratum × month cell. This is also the denominator for adoption_rate.</w:t>
      </w:r>
    </w:p>
    <w:p>
      <w:pPr>
        <w:spacing w:before="120" w:after="240"/>
        <w:jc w:val="left"/>
      </w:pPr>
      <m:oMathPara>
        <m:oMath>
          <m:r>
            <m:t>N = |{ i : i ∈ stratum × month }|</m:t>
          </m:r>
        </m:oMath>
      </m:oMathPara>
    </w:p>
    <w:p>
      <w:pPr>
        <w:keepNext/>
        <w:spacing w:before="280" w:after="80"/>
      </w:pPr>
      <w:r>
        <w:rPr>
          <w:b/>
          <w:color w:val="2E74B5"/>
          <w:sz w:val="24"/>
        </w:rPr>
        <w:t>2.2  Adoption Rate</w:t>
      </w:r>
    </w:p>
    <w:p>
      <w:pPr>
        <w:spacing w:after="120" w:line="288" w:lineRule="auto"/>
      </w:pPr>
      <w:r>
        <w:t>The proportion of the surveyed population that actively employs AI tools:</w:t>
      </w:r>
    </w:p>
    <w:p>
      <w:pPr>
        <w:spacing w:before="120" w:after="240"/>
        <w:jc w:val="left"/>
      </w:pPr>
      <m:oMathPara>
        <m:oMath>
          <m:sSub>
            <m:e>
              <m:r>
                <m:t>adoption</m:t>
              </m:r>
            </m:e>
            <m:sub>
              <m:r>
                <m:t>rate</m:t>
              </m:r>
            </m:sub>
          </m:sSub>
          <m:r>
            <m:t> = </m:t>
          </m:r>
          <m:f>
            <m:num>
              <m:r>
                <m:t>1</m:t>
              </m:r>
            </m:num>
            <m:den>
              <m:r>
                <m:t>N</m:t>
              </m:r>
            </m:den>
          </m:f>
          <m:nary>
            <m:naryPr>
              <m:chr m:val="∑"/>
              <m:limLoc m:val="undOvr"/>
            </m:naryPr>
            <m:sub>
              <m:r>
                <m:t>i=1</m:t>
              </m:r>
            </m:sub>
            <m:sup>
              <m:r>
                <m:t>N</m:t>
              </m:r>
            </m:sup>
            <m:e>
              <m:r>
                <m:t>𝟙[is_userᵢ]</m:t>
              </m:r>
            </m:e>
          </m:nary>
        </m:oMath>
      </m:oMathPara>
    </w:p>
    <w:p>
      <w:pPr>
        <w:spacing w:after="120" w:line="288" w:lineRule="auto"/>
      </w:pPr>
      <w:r>
        <w:t>Range [0, 1]. Includes respondents at every ai_freq level from “Rarely” upward.</w:t>
      </w:r>
    </w:p>
    <w:p>
      <w:pPr>
        <w:keepNext/>
        <w:spacing w:before="280" w:after="80"/>
      </w:pPr>
      <w:r>
        <w:rPr>
          <w:b/>
          <w:color w:val="2E74B5"/>
          <w:sz w:val="24"/>
        </w:rPr>
        <w:t>2.3  Frequency Distribution (freq_share₀ … freq_share₆)</w:t>
      </w:r>
    </w:p>
    <w:p>
      <w:pPr>
        <w:spacing w:after="120" w:line="288" w:lineRule="auto"/>
      </w:pPr>
      <w:r>
        <w:t>For each ordinal level k = 0, …, 6:</w:t>
      </w:r>
    </w:p>
    <w:p>
      <w:pPr>
        <w:spacing w:before="120" w:after="240"/>
        <w:jc w:val="left"/>
      </w:pPr>
      <m:oMathPara>
        <m:oMath>
          <m:sSub>
            <m:e>
              <m:r>
                <m:t>freq_share</m:t>
              </m:r>
            </m:e>
            <m:sub>
              <m:r>
                <m:t>k</m:t>
              </m:r>
            </m:sub>
          </m:sSub>
          <m:r>
            <m:t> = </m:t>
          </m:r>
          <m:f>
            <m:num>
              <m:r>
                <m:t>1</m:t>
              </m:r>
            </m:num>
            <m:den>
              <m:r>
                <m:t>N′</m:t>
              </m:r>
            </m:den>
          </m:f>
          <m:nary>
            <m:naryPr>
              <m:chr m:val="∑"/>
              <m:limLoc m:val="undOvr"/>
              <m:subHide m:val="1"/>
              <m:supHide m:val="1"/>
            </m:naryPr>
            <m:sub/>
            <m:sup/>
            <m:e>
              <m:r>
                <m:t>𝟙[ai_freq_intᵢ = k]</m:t>
              </m:r>
            </m:e>
          </m:nary>
        </m:oMath>
      </m:oMathPara>
    </w:p>
    <w:p>
      <w:pPr>
        <w:spacing w:after="120" w:line="288" w:lineRule="auto"/>
      </w:pPr>
      <w:r>
        <w:t>The seven shares sum to 1.</w:t>
      </w:r>
    </w:p>
    <w:p>
      <w:pPr>
        <w:keepNext/>
        <w:spacing w:before="480" w:after="160"/>
        <w:pBdr>
          <w:bottom w:val="single" w:sz="6" w:space="4" w:color="1F4E79"/>
        </w:pBdr>
      </w:pPr>
      <w:r>
        <w:rPr>
          <w:b/>
          <w:color w:val="1F4E79"/>
          <w:sz w:val="30"/>
        </w:rPr>
        <w:t>3. The Impact Denominator Framework</w:t>
      </w:r>
    </w:p>
    <w:p>
      <w:pPr>
        <w:spacing w:after="120" w:line="288" w:lineRule="auto"/>
      </w:pPr>
      <w:r>
        <w:t>To isolate real trends, workspace impact metrics do not use the full population headcount (N) as their base. Instead, they rely on a stricter verified sub-population called the Impact Denominator (Nᵈ).</w:t>
      </w:r>
    </w:p>
    <w:p>
      <w:pPr>
        <w:spacing w:before="120" w:after="240"/>
        <w:jc w:val="left"/>
      </w:pPr>
      <m:oMathPara>
        <m:oMath>
          <m:r>
            <m:t>in_impact_denomᵢ = </m:t>
          </m:r>
          <m:sSub>
            <m:e>
              <m:r>
                <m:t>is_user</m:t>
              </m:r>
            </m:e>
            <m:sub>
              <m:r>
                <m:t>i</m:t>
              </m:r>
            </m:sub>
          </m:sSub>
          <m:r>
            <m:t> ∧ </m:t>
          </m:r>
          <m:sSub>
            <m:e>
              <m:r>
                <m:t>has_impact_response</m:t>
              </m:r>
            </m:e>
            <m:sub>
              <m:r>
                <m:t>i</m:t>
              </m:r>
            </m:sub>
          </m:sSub>
        </m:oMath>
      </m:oMathPara>
    </w:p>
    <w:p>
      <w:pPr>
        <w:spacing w:after="120" w:line="288" w:lineRule="auto"/>
      </w:pPr>
      <w:r>
        <w:t>where has_impact_response means at least one of the eight real impact flags is true (all flags except impact_na) — i.e. the disjunction over impact_improved_quality, impact_new_opportunities, impact_adaptation_pressure, impact_job_anxiety, impact_job_loss, impact_reduced_income, impact_none, impact_other, and impact_not_sure.</w:t>
      </w:r>
    </w:p>
    <w:p>
      <w:pPr>
        <w:spacing w:after="120" w:line="288" w:lineRule="auto"/>
      </w:pPr>
      <w:r>
        <w:t>To be included in the impact denominator, a respondent must fulfill two rules simultaneously:</w:t>
      </w:r>
    </w:p>
    <w:p>
      <w:pPr>
        <w:pStyle w:val="ListNumber"/>
        <w:spacing w:after="60" w:line="276" w:lineRule="auto"/>
      </w:pPr>
      <w:r>
        <w:rPr>
          <w:b/>
        </w:rPr>
        <w:t xml:space="preserve">Active Engagement:  </w:t>
      </w:r>
      <w:r>
        <w:t>They must be a confirmed AI user (ai_freq_int ≥ 1).</w:t>
      </w:r>
    </w:p>
    <w:p>
      <w:pPr>
        <w:pStyle w:val="ListNumber"/>
        <w:spacing w:after="60" w:line="276" w:lineRule="auto"/>
      </w:pPr>
      <w:r>
        <w:rPr>
          <w:b/>
        </w:rPr>
        <w:t xml:space="preserve">Valid Response:  </w:t>
      </w:r>
      <w:r>
        <w:t>They must have provided an explicit answer to the impact question, including choosing baseline answers like “No impact” or “Not sure.”</w:t>
      </w:r>
    </w:p>
    <w:p>
      <w:pPr>
        <w:spacing w:before="120" w:after="240"/>
        <w:ind w:left="576" w:right="576"/>
      </w:pPr>
      <w:r>
        <w:rPr>
          <w:i/>
          <w:color w:val="666666"/>
        </w:rPr>
        <w:t>Methodological Purpose: Non-users are removed from impact calculations because a participant with zero regular interaction cannot report direct workspace shifts. This step ensures that the resulting percentages accurately reflect the experiences of the user base without downward dilution.</w:t>
      </w:r>
    </w:p>
    <w:p>
      <w:pPr>
        <w:keepNext/>
        <w:spacing w:before="480" w:after="160"/>
        <w:pBdr>
          <w:bottom w:val="single" w:sz="6" w:space="4" w:color="1F4E79"/>
        </w:pBdr>
      </w:pPr>
      <w:r>
        <w:rPr>
          <w:b/>
          <w:color w:val="1F4E79"/>
          <w:sz w:val="30"/>
        </w:rPr>
        <w:t>4. Impact Share Metrics</w:t>
      </w:r>
    </w:p>
    <w:p>
      <w:pPr>
        <w:spacing w:after="120" w:line="288" w:lineRule="auto"/>
      </w:pPr>
      <w:r>
        <w:t>For each impact flag listed in §1, the share is computed against the impact denominator. Let Nᵈ denote n_impact_denominator:</w:t>
      </w:r>
    </w:p>
    <w:p>
      <w:pPr>
        <w:spacing w:before="120" w:after="240"/>
        <w:jc w:val="left"/>
      </w:pPr>
      <m:oMathPara>
        <m:oMath>
          <m:sSub>
            <m:e>
              <m:r>
                <m:t>impact_share</m:t>
              </m:r>
            </m:e>
            <m:sub>
              <m:r>
                <m:t>f</m:t>
              </m:r>
            </m:sub>
          </m:sSub>
          <m:r>
            <m:t> = </m:t>
          </m:r>
          <m:f>
            <m:num>
              <m:r>
                <m:t>1</m:t>
              </m:r>
            </m:num>
            <m:den>
              <m:r>
                <m:t>Nᵈ</m:t>
              </m:r>
            </m:den>
          </m:f>
          <m:nary>
            <m:naryPr>
              <m:chr m:val="∑"/>
              <m:limLoc m:val="undOvr"/>
              <m:subHide m:val="1"/>
              <m:supHide m:val="1"/>
            </m:naryPr>
            <m:sub/>
            <m:sup/>
            <m:e>
              <m:r>
                <m:t>𝟙[flag(f, i)]</m:t>
              </m:r>
            </m:e>
          </m:nary>
        </m:oMath>
      </m:oMathPara>
    </w:p>
    <w:tbl>
      <w:tblPr>
        <w:tblBorders>
          <w:top w:val="single" w:sz="4" w:space="0" w:color="CCCCCC"/>
          <w:start w:val="single" w:sz="4" w:space="0" w:color="CCCCCC"/>
          <w:bottom w:val="single" w:sz="4" w:space="0" w:color="CCCCCC"/>
          <w:end w:val="single" w:sz="4" w:space="0" w:color="CCCCCC"/>
          <w:insideH w:val="single" w:sz="4" w:space="0" w:color="CCCCCC"/>
          <w:insideV w:val="single" w:sz="4" w:space="0" w:color="CCCCCC"/>
        </w:tblBorders>
        <w:tblW w:type="auto" w:w="0"/>
        <w:jc w:val="center"/>
        <w:tblLook w:firstColumn="1" w:firstRow="1" w:lastColumn="0" w:lastRow="0" w:noHBand="0" w:noVBand="1" w:val="04A0"/>
      </w:tblPr>
      <w:tblGrid>
        <w:gridCol w:w="4680"/>
        <w:gridCol w:w="4680"/>
      </w:tblGrid>
      <w:tr>
        <w:tc>
          <w:tcPr>
            <w:tcW w:type="dxa" w:w="5040"/>
            <w:shd w:val="clear" w:color="auto" w:fill="1F4E79"/>
            <w:tcMar>
              <w:top w:w="100" w:type="dxa"/>
              <w:bottom w:w="100" w:type="dxa"/>
              <w:left w:w="150" w:type="dxa"/>
              <w:right w:w="150" w:type="dxa"/>
            </w:tcMar>
          </w:tcPr>
          <w:p>
            <w:pPr>
              <w:jc w:val="left"/>
            </w:pPr>
            <w:r>
              <w:rPr>
                <w:b/>
                <w:color w:val="FFFFFF"/>
                <w:sz w:val="19"/>
              </w:rPr>
              <w:t>Metric</w:t>
            </w:r>
          </w:p>
        </w:tc>
        <w:tc>
          <w:tcPr>
            <w:tcW w:type="dxa" w:w="4320"/>
            <w:shd w:val="clear" w:color="auto" w:fill="1F4E79"/>
            <w:tcMar>
              <w:top w:w="100" w:type="dxa"/>
              <w:bottom w:w="100" w:type="dxa"/>
              <w:left w:w="150" w:type="dxa"/>
              <w:right w:w="150" w:type="dxa"/>
            </w:tcMar>
          </w:tcPr>
          <w:p>
            <w:pPr>
              <w:jc w:val="left"/>
            </w:pPr>
            <w:r>
              <w:rPr>
                <w:b/>
                <w:color w:val="FFFFFF"/>
                <w:sz w:val="19"/>
              </w:rPr>
              <w:t>Numerator flag</w:t>
            </w:r>
          </w:p>
        </w:tc>
      </w:tr>
      <w:tr>
        <w:tc>
          <w:tcPr>
            <w:tcW w:type="dxa" w:w="5040"/>
            <w:tcMar>
              <w:top w:w="70" w:type="dxa"/>
              <w:bottom w:w="70" w:type="dxa"/>
              <w:left w:w="150" w:type="dxa"/>
              <w:right w:w="150" w:type="dxa"/>
            </w:tcMar>
          </w:tcPr>
          <w:p>
            <w:pPr>
              <w:jc w:val="left"/>
            </w:pPr>
            <w:r>
              <w:rPr>
                <w:rFonts w:ascii="Consolas" w:hAnsi="Consolas"/>
                <w:sz w:val="18"/>
              </w:rPr>
              <w:t>impact_share_improved_quality</w:t>
            </w:r>
          </w:p>
        </w:tc>
        <w:tc>
          <w:tcPr>
            <w:tcW w:type="dxa" w:w="4320"/>
            <w:tcMar>
              <w:top w:w="70" w:type="dxa"/>
              <w:bottom w:w="70" w:type="dxa"/>
              <w:left w:w="150" w:type="dxa"/>
              <w:right w:w="150" w:type="dxa"/>
            </w:tcMar>
          </w:tcPr>
          <w:p>
            <w:pPr>
              <w:jc w:val="left"/>
            </w:pPr>
            <w:r>
              <w:rPr>
                <w:rFonts w:ascii="Consolas" w:hAnsi="Consolas"/>
                <w:sz w:val="18"/>
              </w:rPr>
              <w:t>impact_improved_quality</w:t>
            </w:r>
          </w:p>
        </w:tc>
      </w:tr>
      <w:tr>
        <w:tc>
          <w:tcPr>
            <w:tcW w:type="dxa" w:w="5040"/>
            <w:tcMar>
              <w:top w:w="70" w:type="dxa"/>
              <w:bottom w:w="70" w:type="dxa"/>
              <w:left w:w="150" w:type="dxa"/>
              <w:right w:w="150" w:type="dxa"/>
            </w:tcMar>
            <w:shd w:val="clear" w:color="auto" w:fill="F9F9F9"/>
          </w:tcPr>
          <w:p>
            <w:pPr>
              <w:jc w:val="left"/>
            </w:pPr>
            <w:r>
              <w:rPr>
                <w:rFonts w:ascii="Consolas" w:hAnsi="Consolas"/>
                <w:sz w:val="18"/>
              </w:rPr>
              <w:t>impact_share_new_opportunities</w:t>
            </w:r>
          </w:p>
        </w:tc>
        <w:tc>
          <w:tcPr>
            <w:tcW w:type="dxa" w:w="4320"/>
            <w:tcMar>
              <w:top w:w="70" w:type="dxa"/>
              <w:bottom w:w="70" w:type="dxa"/>
              <w:left w:w="150" w:type="dxa"/>
              <w:right w:w="150" w:type="dxa"/>
            </w:tcMar>
            <w:shd w:val="clear" w:color="auto" w:fill="F9F9F9"/>
          </w:tcPr>
          <w:p>
            <w:pPr>
              <w:jc w:val="left"/>
            </w:pPr>
            <w:r>
              <w:rPr>
                <w:rFonts w:ascii="Consolas" w:hAnsi="Consolas"/>
                <w:sz w:val="18"/>
              </w:rPr>
              <w:t>impact_new_opportunities</w:t>
            </w:r>
          </w:p>
        </w:tc>
      </w:tr>
      <w:tr>
        <w:tc>
          <w:tcPr>
            <w:tcW w:type="dxa" w:w="5040"/>
            <w:tcMar>
              <w:top w:w="70" w:type="dxa"/>
              <w:bottom w:w="70" w:type="dxa"/>
              <w:left w:w="150" w:type="dxa"/>
              <w:right w:w="150" w:type="dxa"/>
            </w:tcMar>
          </w:tcPr>
          <w:p>
            <w:pPr>
              <w:jc w:val="left"/>
            </w:pPr>
            <w:r>
              <w:rPr>
                <w:rFonts w:ascii="Consolas" w:hAnsi="Consolas"/>
                <w:sz w:val="18"/>
              </w:rPr>
              <w:t>impact_share_adaptation_pressure</w:t>
            </w:r>
          </w:p>
        </w:tc>
        <w:tc>
          <w:tcPr>
            <w:tcW w:type="dxa" w:w="4320"/>
            <w:tcMar>
              <w:top w:w="70" w:type="dxa"/>
              <w:bottom w:w="70" w:type="dxa"/>
              <w:left w:w="150" w:type="dxa"/>
              <w:right w:w="150" w:type="dxa"/>
            </w:tcMar>
          </w:tcPr>
          <w:p>
            <w:pPr>
              <w:jc w:val="left"/>
            </w:pPr>
            <w:r>
              <w:rPr>
                <w:rFonts w:ascii="Consolas" w:hAnsi="Consolas"/>
                <w:sz w:val="18"/>
              </w:rPr>
              <w:t>impact_adaptation_pressure</w:t>
            </w:r>
          </w:p>
        </w:tc>
      </w:tr>
      <w:tr>
        <w:tc>
          <w:tcPr>
            <w:tcW w:type="dxa" w:w="5040"/>
            <w:tcMar>
              <w:top w:w="70" w:type="dxa"/>
              <w:bottom w:w="70" w:type="dxa"/>
              <w:left w:w="150" w:type="dxa"/>
              <w:right w:w="150" w:type="dxa"/>
            </w:tcMar>
            <w:shd w:val="clear" w:color="auto" w:fill="F9F9F9"/>
          </w:tcPr>
          <w:p>
            <w:pPr>
              <w:jc w:val="left"/>
            </w:pPr>
            <w:r>
              <w:rPr>
                <w:rFonts w:ascii="Consolas" w:hAnsi="Consolas"/>
                <w:sz w:val="18"/>
              </w:rPr>
              <w:t>impact_share_job_anxiety</w:t>
            </w:r>
          </w:p>
        </w:tc>
        <w:tc>
          <w:tcPr>
            <w:tcW w:type="dxa" w:w="4320"/>
            <w:tcMar>
              <w:top w:w="70" w:type="dxa"/>
              <w:bottom w:w="70" w:type="dxa"/>
              <w:left w:w="150" w:type="dxa"/>
              <w:right w:w="150" w:type="dxa"/>
            </w:tcMar>
            <w:shd w:val="clear" w:color="auto" w:fill="F9F9F9"/>
          </w:tcPr>
          <w:p>
            <w:pPr>
              <w:jc w:val="left"/>
            </w:pPr>
            <w:r>
              <w:rPr>
                <w:rFonts w:ascii="Consolas" w:hAnsi="Consolas"/>
                <w:sz w:val="18"/>
              </w:rPr>
              <w:t>impact_job_anxiety</w:t>
            </w:r>
          </w:p>
        </w:tc>
      </w:tr>
      <w:tr>
        <w:tc>
          <w:tcPr>
            <w:tcW w:type="dxa" w:w="5040"/>
            <w:tcMar>
              <w:top w:w="70" w:type="dxa"/>
              <w:bottom w:w="70" w:type="dxa"/>
              <w:left w:w="150" w:type="dxa"/>
              <w:right w:w="150" w:type="dxa"/>
            </w:tcMar>
          </w:tcPr>
          <w:p>
            <w:pPr>
              <w:jc w:val="left"/>
            </w:pPr>
            <w:r>
              <w:rPr>
                <w:rFonts w:ascii="Consolas" w:hAnsi="Consolas"/>
                <w:sz w:val="18"/>
              </w:rPr>
              <w:t>impact_share_job_loss</w:t>
            </w:r>
          </w:p>
        </w:tc>
        <w:tc>
          <w:tcPr>
            <w:tcW w:type="dxa" w:w="4320"/>
            <w:tcMar>
              <w:top w:w="70" w:type="dxa"/>
              <w:bottom w:w="70" w:type="dxa"/>
              <w:left w:w="150" w:type="dxa"/>
              <w:right w:w="150" w:type="dxa"/>
            </w:tcMar>
          </w:tcPr>
          <w:p>
            <w:pPr>
              <w:jc w:val="left"/>
            </w:pPr>
            <w:r>
              <w:rPr>
                <w:rFonts w:ascii="Consolas" w:hAnsi="Consolas"/>
                <w:sz w:val="18"/>
              </w:rPr>
              <w:t>impact_job_loss</w:t>
            </w:r>
          </w:p>
        </w:tc>
      </w:tr>
      <w:tr>
        <w:tc>
          <w:tcPr>
            <w:tcW w:type="dxa" w:w="5040"/>
            <w:tcMar>
              <w:top w:w="70" w:type="dxa"/>
              <w:bottom w:w="70" w:type="dxa"/>
              <w:left w:w="150" w:type="dxa"/>
              <w:right w:w="150" w:type="dxa"/>
            </w:tcMar>
            <w:shd w:val="clear" w:color="auto" w:fill="F9F9F9"/>
          </w:tcPr>
          <w:p>
            <w:pPr>
              <w:jc w:val="left"/>
            </w:pPr>
            <w:r>
              <w:rPr>
                <w:rFonts w:ascii="Consolas" w:hAnsi="Consolas"/>
                <w:sz w:val="18"/>
              </w:rPr>
              <w:t>impact_share_reduced_income</w:t>
            </w:r>
          </w:p>
        </w:tc>
        <w:tc>
          <w:tcPr>
            <w:tcW w:type="dxa" w:w="4320"/>
            <w:tcMar>
              <w:top w:w="70" w:type="dxa"/>
              <w:bottom w:w="70" w:type="dxa"/>
              <w:left w:w="150" w:type="dxa"/>
              <w:right w:w="150" w:type="dxa"/>
            </w:tcMar>
            <w:shd w:val="clear" w:color="auto" w:fill="F9F9F9"/>
          </w:tcPr>
          <w:p>
            <w:pPr>
              <w:jc w:val="left"/>
            </w:pPr>
            <w:r>
              <w:rPr>
                <w:rFonts w:ascii="Consolas" w:hAnsi="Consolas"/>
                <w:sz w:val="18"/>
              </w:rPr>
              <w:t>impact_reduced_income</w:t>
            </w:r>
          </w:p>
        </w:tc>
      </w:tr>
      <w:tr>
        <w:tc>
          <w:tcPr>
            <w:tcW w:type="dxa" w:w="5040"/>
            <w:tcMar>
              <w:top w:w="70" w:type="dxa"/>
              <w:bottom w:w="70" w:type="dxa"/>
              <w:left w:w="150" w:type="dxa"/>
              <w:right w:w="150" w:type="dxa"/>
            </w:tcMar>
          </w:tcPr>
          <w:p>
            <w:pPr>
              <w:jc w:val="left"/>
            </w:pPr>
            <w:r>
              <w:rPr>
                <w:rFonts w:ascii="Consolas" w:hAnsi="Consolas"/>
                <w:sz w:val="18"/>
              </w:rPr>
              <w:t>impact_share_none</w:t>
            </w:r>
          </w:p>
        </w:tc>
        <w:tc>
          <w:tcPr>
            <w:tcW w:type="dxa" w:w="4320"/>
            <w:tcMar>
              <w:top w:w="70" w:type="dxa"/>
              <w:bottom w:w="70" w:type="dxa"/>
              <w:left w:w="150" w:type="dxa"/>
              <w:right w:w="150" w:type="dxa"/>
            </w:tcMar>
          </w:tcPr>
          <w:p>
            <w:pPr>
              <w:jc w:val="left"/>
            </w:pPr>
            <w:r>
              <w:rPr>
                <w:rFonts w:ascii="Consolas" w:hAnsi="Consolas"/>
                <w:sz w:val="18"/>
              </w:rPr>
              <w:t>impact_none</w:t>
            </w:r>
          </w:p>
        </w:tc>
      </w:tr>
      <w:tr>
        <w:tc>
          <w:tcPr>
            <w:tcW w:type="dxa" w:w="5040"/>
            <w:tcMar>
              <w:top w:w="70" w:type="dxa"/>
              <w:bottom w:w="70" w:type="dxa"/>
              <w:left w:w="150" w:type="dxa"/>
              <w:right w:w="150" w:type="dxa"/>
            </w:tcMar>
            <w:shd w:val="clear" w:color="auto" w:fill="F9F9F9"/>
          </w:tcPr>
          <w:p>
            <w:pPr>
              <w:jc w:val="left"/>
            </w:pPr>
            <w:r>
              <w:rPr>
                <w:rFonts w:ascii="Consolas" w:hAnsi="Consolas"/>
                <w:sz w:val="18"/>
              </w:rPr>
              <w:t>impact_share_other</w:t>
            </w:r>
          </w:p>
        </w:tc>
        <w:tc>
          <w:tcPr>
            <w:tcW w:type="dxa" w:w="4320"/>
            <w:tcMar>
              <w:top w:w="70" w:type="dxa"/>
              <w:bottom w:w="70" w:type="dxa"/>
              <w:left w:w="150" w:type="dxa"/>
              <w:right w:w="150" w:type="dxa"/>
            </w:tcMar>
            <w:shd w:val="clear" w:color="auto" w:fill="F9F9F9"/>
          </w:tcPr>
          <w:p>
            <w:pPr>
              <w:jc w:val="left"/>
            </w:pPr>
            <w:r>
              <w:rPr>
                <w:rFonts w:ascii="Consolas" w:hAnsi="Consolas"/>
                <w:sz w:val="18"/>
              </w:rPr>
              <w:t>impact_other</w:t>
            </w:r>
          </w:p>
        </w:tc>
      </w:tr>
      <w:tr>
        <w:tc>
          <w:tcPr>
            <w:tcW w:type="dxa" w:w="5040"/>
            <w:tcMar>
              <w:top w:w="70" w:type="dxa"/>
              <w:bottom w:w="70" w:type="dxa"/>
              <w:left w:w="150" w:type="dxa"/>
              <w:right w:w="150" w:type="dxa"/>
            </w:tcMar>
          </w:tcPr>
          <w:p>
            <w:pPr>
              <w:jc w:val="left"/>
            </w:pPr>
            <w:r>
              <w:rPr>
                <w:rFonts w:ascii="Consolas" w:hAnsi="Consolas"/>
                <w:sz w:val="18"/>
              </w:rPr>
              <w:t>impact_share_not_sure</w:t>
            </w:r>
          </w:p>
        </w:tc>
        <w:tc>
          <w:tcPr>
            <w:tcW w:type="dxa" w:w="4320"/>
            <w:tcMar>
              <w:top w:w="70" w:type="dxa"/>
              <w:bottom w:w="70" w:type="dxa"/>
              <w:left w:w="150" w:type="dxa"/>
              <w:right w:w="150" w:type="dxa"/>
            </w:tcMar>
          </w:tcPr>
          <w:p>
            <w:pPr>
              <w:jc w:val="left"/>
            </w:pPr>
            <w:r>
              <w:rPr>
                <w:rFonts w:ascii="Consolas" w:hAnsi="Consolas"/>
                <w:sz w:val="18"/>
              </w:rPr>
              <w:t>impact_not_sure</w:t>
            </w:r>
          </w:p>
        </w:tc>
      </w:tr>
    </w:tbl>
    <w:p>
      <w:pPr>
        <w:spacing w:after="120" w:line="288" w:lineRule="auto"/>
      </w:pPr>
      <w:r>
        <w:t>Each is a value in [0, 1].</w:t>
      </w:r>
    </w:p>
    <w:p>
      <w:pPr>
        <w:spacing w:after="120" w:line="288" w:lineRule="auto"/>
      </w:pPr>
      <w:r>
        <w:rPr>
          <w:b/>
        </w:rPr>
        <w:t xml:space="preserve">The shares do not have to sum to 1. </w:t>
      </w:r>
      <w:r>
        <w:t>Respondents can select more than one impact, so a given respondent can contribute to multiple shares.</w:t>
      </w:r>
    </w:p>
    <w:p>
      <w:pPr>
        <w:keepNext/>
        <w:spacing w:before="480" w:after="160"/>
        <w:pBdr>
          <w:bottom w:val="single" w:sz="6" w:space="4" w:color="1F4E79"/>
        </w:pBdr>
      </w:pPr>
      <w:r>
        <w:rPr>
          <w:b/>
          <w:color w:val="1F4E79"/>
          <w:sz w:val="30"/>
        </w:rPr>
        <w:t>5. Positive / Negative / Net Impact</w:t>
      </w:r>
    </w:p>
    <w:p>
      <w:pPr>
        <w:spacing w:after="120" w:line="288" w:lineRule="auto"/>
      </w:pPr>
      <w:r>
        <w:t>Two rolled-up shares are computed on the same impact denominator:</w:t>
      </w:r>
    </w:p>
    <w:p>
      <w:pPr>
        <w:spacing w:before="120" w:after="240"/>
        <w:jc w:val="left"/>
      </w:pPr>
      <m:oMathPara>
        <m:oMath>
          <m:sSub>
            <m:e>
              <m:r>
                <m:t>positive_impact</m:t>
              </m:r>
            </m:e>
            <m:sub>
              <m:r>
                <m:t>share</m:t>
              </m:r>
            </m:sub>
          </m:sSub>
          <m:r>
            <m:t> = </m:t>
          </m:r>
          <m:f>
            <m:num>
              <m:r>
                <m:t>1</m:t>
              </m:r>
            </m:num>
            <m:den>
              <m:r>
                <m:t>Nᵈ</m:t>
              </m:r>
            </m:den>
          </m:f>
          <m:nary>
            <m:naryPr>
              <m:chr m:val="∑"/>
              <m:limLoc m:val="undOvr"/>
              <m:subHide m:val="1"/>
              <m:supHide m:val="1"/>
            </m:naryPr>
            <m:sub/>
            <m:sup/>
            <m:e>
              <m:r>
                <m:t>𝟙[is_positiveᵢ]</m:t>
              </m:r>
            </m:e>
          </m:nary>
        </m:oMath>
      </m:oMathPara>
    </w:p>
    <w:p>
      <w:pPr>
        <w:spacing w:before="120" w:after="240"/>
        <w:jc w:val="left"/>
      </w:pPr>
      <m:oMathPara>
        <m:oMath>
          <m:sSub>
            <m:e>
              <m:r>
                <m:t>negative_impact</m:t>
              </m:r>
            </m:e>
            <m:sub>
              <m:r>
                <m:t>share</m:t>
              </m:r>
            </m:sub>
          </m:sSub>
          <m:r>
            <m:t> = </m:t>
          </m:r>
          <m:f>
            <m:num>
              <m:r>
                <m:t>1</m:t>
              </m:r>
            </m:num>
            <m:den>
              <m:r>
                <m:t>Nᵈ</m:t>
              </m:r>
            </m:den>
          </m:f>
          <m:nary>
            <m:naryPr>
              <m:chr m:val="∑"/>
              <m:limLoc m:val="undOvr"/>
              <m:subHide m:val="1"/>
              <m:supHide m:val="1"/>
            </m:naryPr>
            <m:sub/>
            <m:sup/>
            <m:e>
              <m:r>
                <m:t>𝟙[is_negativeᵢ]</m:t>
              </m:r>
            </m:e>
          </m:nary>
        </m:oMath>
      </m:oMathPara>
    </w:p>
    <w:p>
      <w:pPr>
        <w:spacing w:after="120" w:line="288" w:lineRule="auto"/>
      </w:pPr>
      <w:r>
        <w:t>These two shares serve as building blocks for the dose-response panel (§7), which displays their difference (positive − negative) at each AI-use frequency level.</w:t>
      </w:r>
    </w:p>
    <w:p>
      <w:pPr>
        <w:keepNext/>
        <w:spacing w:before="480" w:after="160"/>
        <w:pBdr>
          <w:bottom w:val="single" w:sz="6" w:space="4" w:color="1F4E79"/>
        </w:pBdr>
      </w:pPr>
      <w:r>
        <w:rPr>
          <w:b/>
          <w:color w:val="1F4E79"/>
          <w:sz w:val="30"/>
        </w:rPr>
        <w:t>6. Weighted Impact Index (WII)</w:t>
      </w:r>
    </w:p>
    <w:p>
      <w:pPr>
        <w:spacing w:after="120" w:line="288" w:lineRule="auto"/>
      </w:pPr>
      <w:r>
        <w:t xml:space="preserve">The </w:t>
      </w:r>
      <w:r>
        <w:rPr>
          <w:b/>
          <w:color w:val="6366F1"/>
        </w:rPr>
        <w:t>Weighted Impact Index</w:t>
      </w:r>
      <w:r>
        <w:t xml:space="preserve"> (weighted_impact_index) is the dashboard's headline metric. Unlike the simple net index in §5, it assigns each impact flag a signed weight reflecting how positive or negative that outcome is, then averages a per-respondent score across the impact denominator.</w:t>
      </w:r>
    </w:p>
    <w:p>
      <w:pPr>
        <w:keepNext/>
        <w:spacing w:before="280" w:after="80"/>
      </w:pPr>
      <w:r>
        <w:rPr>
          <w:b/>
          <w:color w:val="2E74B5"/>
          <w:sz w:val="24"/>
        </w:rPr>
        <w:t>6.1  Weight Table</w:t>
      </w:r>
    </w:p>
    <w:p>
      <w:pPr>
        <w:spacing w:after="120" w:line="288" w:lineRule="auto"/>
      </w:pPr>
      <w:r>
        <w:t>These are editorial values set by the Sapien Labs team; they reflect judgment about relative severity, not an empirical calibration.</w:t>
      </w:r>
    </w:p>
    <w:tbl>
      <w:tblPr>
        <w:tblBorders>
          <w:top w:val="single" w:sz="4" w:space="0" w:color="CCCCCC"/>
          <w:start w:val="none" w:sz="0" w:space="0" w:color="auto"/>
          <w:bottom w:val="single" w:sz="6" w:space="0" w:color="CCCCCC"/>
          <w:end w:val="none" w:sz="0" w:space="0" w:color="auto"/>
          <w:insideH w:val="single" w:sz="4" w:space="0" w:color="CCCCCC"/>
          <w:insideV w:val="none" w:sz="0" w:space="0" w:color="auto"/>
        </w:tblBorders>
        <w:tblW w:type="auto" w:w="0"/>
        <w:jc w:val="center"/>
        <w:tblLook w:firstColumn="1" w:firstRow="1" w:lastColumn="0" w:lastRow="0" w:noHBand="0" w:noVBand="1" w:val="04A0"/>
      </w:tblPr>
      <w:tblGrid>
        <w:gridCol w:w="4680"/>
        <w:gridCol w:w="4680"/>
      </w:tblGrid>
      <w:tr>
        <w:tc>
          <w:tcPr>
            <w:tcW w:type="dxa" w:w="4680"/>
            <w:shd w:val="clear" w:color="auto" w:fill="1F4E79"/>
            <w:tcMar>
              <w:top w:w="120" w:type="dxa"/>
              <w:bottom w:w="120" w:type="dxa"/>
              <w:left w:w="150" w:type="dxa"/>
              <w:right w:w="150" w:type="dxa"/>
            </w:tcMar>
          </w:tcPr>
          <w:p>
            <w:pPr>
              <w:jc w:val="left"/>
            </w:pPr>
            <w:r>
              <w:rPr>
                <w:b/>
                <w:color w:val="FFFFFF"/>
              </w:rPr>
              <w:t>Workplace Impact Choice Flag</w:t>
            </w:r>
          </w:p>
        </w:tc>
        <w:tc>
          <w:tcPr>
            <w:tcW w:type="dxa" w:w="4680"/>
            <w:shd w:val="clear" w:color="auto" w:fill="1F4E79"/>
            <w:tcMar>
              <w:top w:w="120" w:type="dxa"/>
              <w:bottom w:w="120" w:type="dxa"/>
              <w:left w:w="150" w:type="dxa"/>
              <w:right w:w="150" w:type="dxa"/>
            </w:tcMar>
          </w:tcPr>
          <w:p>
            <w:pPr>
              <w:jc w:val="right"/>
            </w:pPr>
            <w:r>
              <w:rPr>
                <w:b/>
                <w:color w:val="FFFFFF"/>
              </w:rPr>
              <w:t>Assigned Severity Weight</w:t>
            </w:r>
          </w:p>
        </w:tc>
      </w:tr>
      <w:tr>
        <w:tc>
          <w:tcPr>
            <w:tcW w:type="dxa" w:w="4680"/>
            <w:tcMar>
              <w:top w:w="80" w:type="dxa"/>
              <w:bottom w:w="80" w:type="dxa"/>
              <w:left w:w="150" w:type="dxa"/>
              <w:right w:w="150" w:type="dxa"/>
            </w:tcMar>
          </w:tcPr>
          <w:p>
            <w:pPr>
              <w:jc w:val="left"/>
            </w:pPr>
            <w:r>
              <w:t>Created new job or income opportunities</w:t>
            </w:r>
          </w:p>
        </w:tc>
        <w:tc>
          <w:tcPr>
            <w:tcW w:type="dxa" w:w="4680"/>
            <w:tcMar>
              <w:top w:w="80" w:type="dxa"/>
              <w:bottom w:w="80" w:type="dxa"/>
              <w:left w:w="150" w:type="dxa"/>
              <w:right w:w="150" w:type="dxa"/>
            </w:tcMar>
          </w:tcPr>
          <w:p>
            <w:pPr>
              <w:jc w:val="right"/>
            </w:pPr>
            <w:r>
              <w:rPr>
                <w:b/>
                <w:color w:val="1A7F4E"/>
              </w:rPr>
              <w:t>+1.00</w:t>
            </w:r>
          </w:p>
        </w:tc>
      </w:tr>
      <w:tr>
        <w:tc>
          <w:tcPr>
            <w:tcW w:type="dxa" w:w="4680"/>
            <w:shd w:val="clear" w:color="auto" w:fill="F9F9F9"/>
            <w:tcMar>
              <w:top w:w="80" w:type="dxa"/>
              <w:bottom w:w="80" w:type="dxa"/>
              <w:left w:w="150" w:type="dxa"/>
              <w:right w:w="150" w:type="dxa"/>
            </w:tcMar>
          </w:tcPr>
          <w:p>
            <w:pPr>
              <w:jc w:val="left"/>
            </w:pPr>
            <w:r>
              <w:t>Improved my work quality or output</w:t>
            </w:r>
          </w:p>
        </w:tc>
        <w:tc>
          <w:tcPr>
            <w:tcW w:type="dxa" w:w="4680"/>
            <w:shd w:val="clear" w:color="auto" w:fill="F9F9F9"/>
            <w:tcMar>
              <w:top w:w="80" w:type="dxa"/>
              <w:bottom w:w="80" w:type="dxa"/>
              <w:left w:w="150" w:type="dxa"/>
              <w:right w:w="150" w:type="dxa"/>
            </w:tcMar>
          </w:tcPr>
          <w:p>
            <w:pPr>
              <w:jc w:val="right"/>
            </w:pPr>
            <w:r>
              <w:rPr>
                <w:b/>
                <w:color w:val="1A7F4E"/>
              </w:rPr>
              <w:t>+0.50</w:t>
            </w:r>
          </w:p>
        </w:tc>
      </w:tr>
      <w:tr>
        <w:tc>
          <w:tcPr>
            <w:tcW w:type="dxa" w:w="4680"/>
            <w:tcMar>
              <w:top w:w="80" w:type="dxa"/>
              <w:bottom w:w="80" w:type="dxa"/>
              <w:left w:w="150" w:type="dxa"/>
              <w:right w:w="150" w:type="dxa"/>
            </w:tcMar>
          </w:tcPr>
          <w:p>
            <w:pPr>
              <w:jc w:val="left"/>
            </w:pPr>
            <w:r>
              <w:t>Made me worry about the future of my job or industry</w:t>
            </w:r>
          </w:p>
        </w:tc>
        <w:tc>
          <w:tcPr>
            <w:tcW w:type="dxa" w:w="4680"/>
            <w:tcMar>
              <w:top w:w="80" w:type="dxa"/>
              <w:bottom w:w="80" w:type="dxa"/>
              <w:left w:w="150" w:type="dxa"/>
              <w:right w:w="150" w:type="dxa"/>
            </w:tcMar>
          </w:tcPr>
          <w:p>
            <w:pPr>
              <w:jc w:val="right"/>
            </w:pPr>
            <w:r>
              <w:rPr>
                <w:b/>
                <w:color w:val="B3261E"/>
              </w:rPr>
              <w:t>−0.25</w:t>
            </w:r>
          </w:p>
        </w:tc>
      </w:tr>
      <w:tr>
        <w:tc>
          <w:tcPr>
            <w:tcW w:type="dxa" w:w="4680"/>
            <w:shd w:val="clear" w:color="auto" w:fill="F9F9F9"/>
            <w:tcMar>
              <w:top w:w="80" w:type="dxa"/>
              <w:bottom w:w="80" w:type="dxa"/>
              <w:left w:w="150" w:type="dxa"/>
              <w:right w:w="150" w:type="dxa"/>
            </w:tcMar>
          </w:tcPr>
          <w:p>
            <w:pPr>
              <w:jc w:val="left"/>
            </w:pPr>
            <w:r>
              <w:t>Increased pressure to adapt or work faster</w:t>
            </w:r>
          </w:p>
        </w:tc>
        <w:tc>
          <w:tcPr>
            <w:tcW w:type="dxa" w:w="4680"/>
            <w:shd w:val="clear" w:color="auto" w:fill="F9F9F9"/>
            <w:tcMar>
              <w:top w:w="80" w:type="dxa"/>
              <w:bottom w:w="80" w:type="dxa"/>
              <w:left w:w="150" w:type="dxa"/>
              <w:right w:w="150" w:type="dxa"/>
            </w:tcMar>
          </w:tcPr>
          <w:p>
            <w:pPr>
              <w:jc w:val="right"/>
            </w:pPr>
            <w:r>
              <w:rPr>
                <w:b/>
                <w:color w:val="B3261E"/>
              </w:rPr>
              <w:t>−0.50</w:t>
            </w:r>
          </w:p>
        </w:tc>
      </w:tr>
      <w:tr>
        <w:tc>
          <w:tcPr>
            <w:tcW w:type="dxa" w:w="4680"/>
            <w:tcMar>
              <w:top w:w="80" w:type="dxa"/>
              <w:bottom w:w="80" w:type="dxa"/>
              <w:left w:w="150" w:type="dxa"/>
              <w:right w:w="150" w:type="dxa"/>
            </w:tcMar>
          </w:tcPr>
          <w:p>
            <w:pPr>
              <w:jc w:val="left"/>
            </w:pPr>
            <w:r>
              <w:t>Reduced my income or made it harder to find work</w:t>
            </w:r>
          </w:p>
        </w:tc>
        <w:tc>
          <w:tcPr>
            <w:tcW w:type="dxa" w:w="4680"/>
            <w:tcMar>
              <w:top w:w="80" w:type="dxa"/>
              <w:bottom w:w="80" w:type="dxa"/>
              <w:left w:w="150" w:type="dxa"/>
              <w:right w:w="150" w:type="dxa"/>
            </w:tcMar>
          </w:tcPr>
          <w:p>
            <w:pPr>
              <w:jc w:val="right"/>
            </w:pPr>
            <w:r>
              <w:rPr>
                <w:b/>
                <w:color w:val="B3261E"/>
              </w:rPr>
              <w:t>−0.75</w:t>
            </w:r>
          </w:p>
        </w:tc>
      </w:tr>
      <w:tr>
        <w:tc>
          <w:tcPr>
            <w:tcW w:type="dxa" w:w="4680"/>
            <w:shd w:val="clear" w:color="auto" w:fill="F9F9F9"/>
            <w:tcMar>
              <w:top w:w="80" w:type="dxa"/>
              <w:bottom w:w="80" w:type="dxa"/>
              <w:left w:w="150" w:type="dxa"/>
              <w:right w:w="150" w:type="dxa"/>
            </w:tcMar>
          </w:tcPr>
          <w:p>
            <w:pPr>
              <w:jc w:val="left"/>
            </w:pPr>
            <w:r>
              <w:t>Caused me to lose my job</w:t>
            </w:r>
          </w:p>
        </w:tc>
        <w:tc>
          <w:tcPr>
            <w:tcW w:type="dxa" w:w="4680"/>
            <w:shd w:val="clear" w:color="auto" w:fill="F9F9F9"/>
            <w:tcMar>
              <w:top w:w="80" w:type="dxa"/>
              <w:bottom w:w="80" w:type="dxa"/>
              <w:left w:w="150" w:type="dxa"/>
              <w:right w:w="150" w:type="dxa"/>
            </w:tcMar>
          </w:tcPr>
          <w:p>
            <w:pPr>
              <w:jc w:val="right"/>
            </w:pPr>
            <w:r>
              <w:rPr>
                <w:b/>
                <w:color w:val="B3261E"/>
              </w:rPr>
              <w:t>−1.00</w:t>
            </w:r>
          </w:p>
        </w:tc>
      </w:tr>
      <w:tr>
        <w:tc>
          <w:tcPr>
            <w:tcW w:type="dxa" w:w="4680"/>
            <w:tcMar>
              <w:top w:w="80" w:type="dxa"/>
              <w:bottom w:w="80" w:type="dxa"/>
              <w:left w:w="150" w:type="dxa"/>
              <w:right w:w="150" w:type="dxa"/>
            </w:tcMar>
          </w:tcPr>
          <w:p>
            <w:pPr>
              <w:jc w:val="left"/>
            </w:pPr>
            <w:r>
              <w:t>No impact / Another impact / Not sure</w:t>
            </w:r>
          </w:p>
        </w:tc>
        <w:tc>
          <w:tcPr>
            <w:tcW w:type="dxa" w:w="4680"/>
            <w:tcMar>
              <w:top w:w="80" w:type="dxa"/>
              <w:bottom w:w="80" w:type="dxa"/>
              <w:left w:w="150" w:type="dxa"/>
              <w:right w:w="150" w:type="dxa"/>
            </w:tcMar>
          </w:tcPr>
          <w:p>
            <w:pPr>
              <w:jc w:val="right"/>
            </w:pPr>
            <w:r>
              <w:rPr>
                <w:b/>
                <w:color w:val="666666"/>
              </w:rPr>
              <w:t>0.00</w:t>
            </w:r>
          </w:p>
        </w:tc>
      </w:tr>
    </w:tbl>
    <w:p/>
    <w:p>
      <w:pPr>
        <w:keepNext/>
        <w:spacing w:before="280" w:after="80"/>
      </w:pPr>
      <w:r>
        <w:rPr>
          <w:b/>
          <w:color w:val="2E74B5"/>
          <w:sz w:val="24"/>
        </w:rPr>
        <w:t>6.2  Per-Respondent Score</w:t>
      </w:r>
    </w:p>
    <w:p>
      <w:pPr>
        <w:spacing w:after="120" w:line="288" w:lineRule="auto"/>
      </w:pPr>
      <w:r>
        <w:t>For each respondent i in the impact denominator, sum the weights of every flag they selected:</w:t>
      </w:r>
    </w:p>
    <w:p>
      <w:pPr>
        <w:spacing w:before="120" w:after="240"/>
        <w:jc w:val="left"/>
      </w:pPr>
      <m:oMathPara>
        <m:oMath>
          <m:sSub>
            <m:e>
              <m:r>
                <m:t>s</m:t>
              </m:r>
            </m:e>
            <m:sub>
              <m:r>
                <m:t>i</m:t>
              </m:r>
            </m:sub>
          </m:sSub>
          <m:r>
            <m:t> = </m:t>
          </m:r>
          <m:nary>
            <m:naryPr>
              <m:chr m:val="∑"/>
              <m:limLoc m:val="undOvr"/>
            </m:naryPr>
            <m:sub>
              <m:r>
                <m:t>f ∈ ℱ</m:t>
              </m:r>
            </m:sub>
            <m:sup/>
            <m:e>
              <m:r>
                <m:t>wₑ · 𝟙[flag(f, i)]</m:t>
              </m:r>
            </m:e>
          </m:nary>
        </m:oMath>
      </m:oMathPara>
    </w:p>
    <w:p>
      <w:pPr>
        <w:spacing w:after="120" w:line="288" w:lineRule="auto"/>
      </w:pPr>
      <w:r>
        <w:t>where wₑ = IMPACT_WEIGHTS[f] and ℱ is the set of eight weighted flags (excluding impact_na).</w:t>
      </w:r>
    </w:p>
    <w:p>
      <w:pPr>
        <w:spacing w:after="120" w:line="288" w:lineRule="auto"/>
      </w:pPr>
      <w:r>
        <w:rPr>
          <w:b/>
          <w:color w:val="2E74B5"/>
        </w:rPr>
        <w:t>Examples:</w:t>
      </w:r>
    </w:p>
    <w:p>
      <w:pPr>
        <w:pStyle w:val="ListBullet"/>
        <w:spacing w:after="60" w:line="276" w:lineRule="auto"/>
      </w:pPr>
      <w:r>
        <w:t>A respondent who selected only “Improved my work quality” scores +0.5.</w:t>
      </w:r>
    </w:p>
    <w:p>
      <w:pPr>
        <w:pStyle w:val="ListBullet"/>
        <w:spacing w:after="60" w:line="276" w:lineRule="auto"/>
      </w:pPr>
      <w:r>
        <w:t>A respondent who selected “Improved my work quality” and “Adaptation pressure” scores +0.5 + (−0.5) = 0.</w:t>
      </w:r>
    </w:p>
    <w:p>
      <w:pPr>
        <w:pStyle w:val="ListBullet"/>
        <w:spacing w:after="60" w:line="276" w:lineRule="auto"/>
      </w:pPr>
      <w:r>
        <w:t>A respondent who selected “Job loss” and “Reduced income” scores −1.0 + (−0.75) = −1.75.</w:t>
      </w:r>
    </w:p>
    <w:p>
      <w:pPr>
        <w:pStyle w:val="ListBullet"/>
        <w:spacing w:after="60" w:line="276" w:lineRule="auto"/>
      </w:pPr>
      <w:r>
        <w:t>A respondent who selected “No impact” scores 0.</w:t>
      </w:r>
    </w:p>
    <w:p>
      <w:pPr>
        <w:spacing w:after="120" w:line="288" w:lineRule="auto"/>
      </w:pPr>
      <w:r>
        <w:t>A single respondent's score can exceed ±1 if they selected several weighted flags in the same direction.</w:t>
      </w:r>
    </w:p>
    <w:p>
      <w:pPr>
        <w:keepNext/>
        <w:spacing w:before="280" w:after="80"/>
      </w:pPr>
      <w:r>
        <w:rPr>
          <w:b/>
          <w:color w:val="2E74B5"/>
          <w:sz w:val="24"/>
        </w:rPr>
        <w:t>6.3  Cell Value</w:t>
      </w:r>
    </w:p>
    <w:p>
      <w:pPr>
        <w:spacing w:after="120" w:line="288" w:lineRule="auto"/>
      </w:pPr>
      <w:r>
        <w:t>The published weighted_impact_index is the arithmetic mean of per-respondent scores over the impact denominator:</w:t>
      </w:r>
    </w:p>
    <w:p>
      <w:pPr>
        <w:spacing w:before="120" w:after="240"/>
        <w:jc w:val="left"/>
      </w:pPr>
      <m:oMathPara>
        <m:oMath>
          <m:r>
            <m:t>WII = </m:t>
          </m:r>
          <m:f>
            <m:num>
              <m:r>
                <m:t>1</m:t>
              </m:r>
            </m:num>
            <m:den>
              <m:r>
                <m:t>Nᵈ</m:t>
              </m:r>
            </m:den>
          </m:f>
          <m:nary>
            <m:naryPr>
              <m:chr m:val="∑"/>
              <m:limLoc m:val="undOvr"/>
              <m:subHide m:val="1"/>
              <m:supHide m:val="1"/>
            </m:naryPr>
            <m:sub/>
            <m:sup/>
            <m:e>
              <m:r>
                <m:t>sᵢ</m:t>
              </m:r>
            </m:e>
          </m:nary>
        </m:oMath>
      </m:oMathPara>
    </w:p>
    <w:p>
      <w:pPr>
        <w:spacing w:after="120" w:line="288" w:lineRule="auto"/>
      </w:pPr>
      <w:r>
        <w:t>Range is roughly [−1, +1] in practice but is not symmetric: a respondent would need to select multiple negative flags simultaneously to drive a cell well below −1.</w:t>
      </w:r>
    </w:p>
    <w:p>
      <w:pPr>
        <w:spacing w:after="120" w:line="288" w:lineRule="auto"/>
      </w:pPr>
      <w:r>
        <w:t>A positive cell value means the average AI user in that stratum had a net-positive experience; a negative value means the average user had a net-negative experience.</w:t>
      </w:r>
    </w:p>
    <w:p>
      <w:pPr>
        <w:keepNext/>
        <w:spacing w:before="280" w:after="80"/>
      </w:pPr>
      <w:r>
        <w:rPr>
          <w:b/>
          <w:color w:val="2E74B5"/>
          <w:sz w:val="24"/>
        </w:rPr>
        <w:t>6.4  Asymmetry by Design</w:t>
      </w:r>
    </w:p>
    <w:p>
      <w:pPr>
        <w:spacing w:after="120" w:line="288" w:lineRule="auto"/>
      </w:pPr>
      <w:r>
        <w:t>The weight scheme is deliberately asymmetric: the most severe negative outcome (job loss, −1.0) carries the same absolute weight as the strongest positive (new opportunities, +1.0), but the cumulative negative weight across all four negative flags (−2.5) exceeds the cumulative positive weight (+1.5). This reflects the stakeholder judgment that severe harms deserve disproportionate weight compared to moderate benefits.</w:t>
      </w:r>
    </w:p>
    <w:p>
      <w:pPr>
        <w:keepNext/>
        <w:spacing w:before="280" w:after="80"/>
      </w:pPr>
      <w:r>
        <w:rPr>
          <w:b/>
          <w:color w:val="2E74B5"/>
          <w:sz w:val="24"/>
        </w:rPr>
        <w:t>6.5  Comparison with the v1 Net Impact Index</w:t>
      </w:r>
    </w:p>
    <w:p>
      <w:pPr>
        <w:spacing w:after="120" w:line="288" w:lineRule="auto"/>
      </w:pPr>
      <w:r>
        <w:t>The v1 dashboard used a simpler binary measure (NII = positive_share − negative_share) that treated all impacts equally. The WII replaced it as the headline metric because it differentiates by severity. In practice, global WII values (~0.14–0.18) run lower than NII values (~0.20–0.26) because the negative weights are heavier. The NII is still computed internally and drives the dose-response panel (§7).</w:t>
      </w:r>
    </w:p>
    <w:p>
      <w:pPr>
        <w:keepNext/>
        <w:spacing w:before="480" w:after="160"/>
        <w:pBdr>
          <w:bottom w:val="single" w:sz="6" w:space="4" w:color="1F4E79"/>
        </w:pBdr>
      </w:pPr>
      <w:r>
        <w:rPr>
          <w:b/>
          <w:color w:val="1F4E79"/>
          <w:sz w:val="30"/>
        </w:rPr>
        <w:t>7. Dose-Response</w:t>
      </w:r>
    </w:p>
    <w:p>
      <w:pPr>
        <w:spacing w:after="120" w:line="288" w:lineRule="auto"/>
      </w:pPr>
      <w:r>
        <w:t>The dashboard's “Dose-response” row shows the difference between positive and negative impact shares (positive_impact_share − negative_impact_share) at each AI-use frequency level. For each stratum × month, and for each ordinal ai_freq level k = 1, …, 6:</w:t>
      </w:r>
    </w:p>
    <w:p>
      <w:pPr>
        <w:spacing w:before="120" w:after="240"/>
        <w:jc w:val="left"/>
      </w:pPr>
      <m:oMathPara>
        <m:oMath>
          <m:r>
            <m:t>dose_response</m:t>
          </m:r>
          <m:d>
            <m:dPr>
              <m:begChr m:val="["/>
              <m:endChr m:val="]"/>
            </m:dPr>
            <m:e>
              <m:r>
                <m:t>k</m:t>
              </m:r>
            </m:e>
          </m:d>
          <m:r>
            <m:t> = </m:t>
          </m:r>
          <m:sSub>
            <m:e>
              <m:r>
                <m:t>pos_share</m:t>
              </m:r>
            </m:e>
            <m:sub>
              <m:r>
                <m:t>k</m:t>
              </m:r>
            </m:sub>
          </m:sSub>
          <m:r>
            <m:t> − </m:t>
          </m:r>
          <m:sSub>
            <m:e>
              <m:r>
                <m:t>neg_share</m:t>
              </m:r>
            </m:e>
            <m:sub>
              <m:r>
                <m:t>k</m:t>
              </m:r>
            </m:sub>
          </m:sSub>
        </m:oMath>
      </m:oMathPara>
    </w:p>
    <w:p>
      <w:pPr>
        <w:spacing w:after="120" w:line="288" w:lineRule="auto"/>
      </w:pPr>
      <w:r>
        <w:t>where the denominator is respondents in the impact denominator (§3) at that specific frequency level. If that level has fewer than MIN_N respondents (§9), the entry is null (rendered as n/a in the dashboard).</w:t>
      </w:r>
    </w:p>
    <w:p>
      <w:pPr>
        <w:spacing w:after="120" w:line="288" w:lineRule="auto"/>
      </w:pPr>
      <w:r>
        <w:t>Level 0 (“Never”) is not part of the impact denominator and is not reported.</w:t>
      </w:r>
    </w:p>
    <w:p>
      <w:pPr>
        <w:spacing w:after="120" w:line="288" w:lineRule="auto"/>
      </w:pPr>
      <w:r>
        <w:rPr>
          <w:b/>
          <w:color w:val="2E74B5"/>
        </w:rPr>
        <w:t xml:space="preserve">Interpretation: </w:t>
      </w:r>
      <w:r>
        <w:t>a dose-response that climbs from +0.10 at “Rarely” to +0.40 at “Daily” suggests the net impact is more positive among heavier users — a hint of dose-dependence, not a causal claim.</w:t>
      </w:r>
    </w:p>
    <w:p>
      <w:pPr>
        <w:keepNext/>
        <w:spacing w:before="480" w:after="160"/>
        <w:pBdr>
          <w:bottom w:val="single" w:sz="6" w:space="4" w:color="1F4E79"/>
        </w:pBdr>
      </w:pPr>
      <w:r>
        <w:rPr>
          <w:b/>
          <w:color w:val="1F4E79"/>
          <w:sz w:val="30"/>
        </w:rPr>
        <w:t>8. Confidence Intervals</w:t>
      </w:r>
    </w:p>
    <w:p>
      <w:pPr>
        <w:keepNext/>
        <w:spacing w:before="280" w:after="80"/>
      </w:pPr>
      <w:r>
        <w:rPr>
          <w:b/>
          <w:color w:val="2E74B5"/>
          <w:sz w:val="24"/>
        </w:rPr>
        <w:t>8.1  Share Metrics — Wilson 95% Score Interval</w:t>
      </w:r>
    </w:p>
    <w:p>
      <w:pPr>
        <w:spacing w:after="120" w:line="288" w:lineRule="auto"/>
      </w:pPr>
      <w:r>
        <w:t>All share metrics (adoption_rate, every impact_share_*, positive_impact_share, negative_impact_share) get a Wilson score 95% CI. Given k successes out of n trials and z = 1.96:</w:t>
      </w:r>
    </w:p>
    <w:p>
      <w:pPr>
        <w:spacing w:before="120" w:after="240"/>
        <w:jc w:val="left"/>
      </w:pPr>
      <m:oMathPara>
        <m:oMath>
          <m:r>
            <m:t>p̂ = </m:t>
          </m:r>
          <m:f>
            <m:num>
              <m:r>
                <m:t>k</m:t>
              </m:r>
            </m:num>
            <m:den>
              <m:r>
                <m:t>n</m:t>
              </m:r>
            </m:den>
          </m:f>
        </m:oMath>
      </m:oMathPara>
    </w:p>
    <w:p>
      <w:pPr>
        <w:spacing w:before="120" w:after="240"/>
        <w:jc w:val="left"/>
      </w:pPr>
      <m:oMathPara>
        <m:oMath>
          <m:r>
            <m:t>p̃ = </m:t>
          </m:r>
          <m:f>
            <m:num>
              <m:r>
                <m:t>p̂ + z²/2n</m:t>
              </m:r>
            </m:num>
            <m:den>
              <m:r>
                <m:t>1 + z²/n</m:t>
              </m:r>
            </m:den>
          </m:f>
        </m:oMath>
      </m:oMathPara>
    </w:p>
    <w:p>
      <w:pPr>
        <w:spacing w:before="120" w:after="240"/>
        <w:jc w:val="left"/>
      </w:pPr>
      <m:oMathPara>
        <m:oMath>
          <m:r>
            <m:t>CI = p̃ ± </m:t>
          </m:r>
          <m:f>
            <m:num>
              <m:r>
                <m:t>z · √[ p̂(1−p̂)/n + z²/4n² ]</m:t>
              </m:r>
            </m:num>
            <m:den>
              <m:r>
                <m:t>1 + z²/n</m:t>
              </m:r>
            </m:den>
          </m:f>
        </m:oMath>
      </m:oMathPara>
    </w:p>
    <w:p>
      <w:pPr>
        <w:spacing w:before="120" w:after="240"/>
        <w:jc w:val="left"/>
      </w:pPr>
      <m:oMathPara>
        <m:oMath>
          <m:sSub>
            <m:e>
              <m:r>
                <m:t>ci</m:t>
              </m:r>
            </m:e>
            <m:sub>
              <m:r>
                <m:t>low</m:t>
              </m:r>
            </m:sub>
          </m:sSub>
          <m:r>
            <m:t> = max(0, CI</m:t>
          </m:r>
          <m:sSub>
            <m:e>
              <m:r>
                <m:t/>
              </m:r>
            </m:e>
            <m:sub>
              <m:r>
                <m:t>low</m:t>
              </m:r>
            </m:sub>
          </m:sSub>
          <m:r>
            <m:t>),  </m:t>
          </m:r>
          <m:sSub>
            <m:e>
              <m:r>
                <m:t>ci</m:t>
              </m:r>
            </m:e>
            <m:sub>
              <m:r>
                <m:t>high</m:t>
              </m:r>
            </m:sub>
          </m:sSub>
          <m:r>
            <m:t> = min(1, CI</m:t>
          </m:r>
          <m:sSub>
            <m:e>
              <m:r>
                <m:t/>
              </m:r>
            </m:e>
            <m:sub>
              <m:r>
                <m:t>high</m:t>
              </m:r>
            </m:sub>
          </m:sSub>
          <m:r>
            <m:t>)</m:t>
          </m:r>
        </m:oMath>
      </m:oMathPara>
    </w:p>
    <w:p>
      <w:pPr>
        <w:spacing w:after="120" w:line="288" w:lineRule="auto"/>
      </w:pPr>
      <w:r>
        <w:t>Wilson is preferred over the normal-approximation Wald interval because it stays inside [0, 1] even at extreme proportions and small n.</w:t>
      </w:r>
    </w:p>
    <w:p>
      <w:pPr>
        <w:keepNext/>
        <w:spacing w:before="280" w:after="80"/>
      </w:pPr>
      <w:r>
        <w:rPr>
          <w:b/>
          <w:color w:val="2E74B5"/>
          <w:sz w:val="24"/>
        </w:rPr>
        <w:t>8.2  Weighted Impact Index — Wald 95% CI</w:t>
      </w:r>
    </w:p>
    <w:p>
      <w:pPr>
        <w:spacing w:after="120" w:line="288" w:lineRule="auto"/>
      </w:pPr>
      <w:r>
        <w:t>The per-respondent score sᵢ (§6) is treated as a continuous variable:</w:t>
      </w:r>
    </w:p>
    <w:p>
      <w:pPr>
        <w:spacing w:before="120" w:after="240"/>
        <w:jc w:val="left"/>
      </w:pPr>
      <m:oMathPara>
        <m:oMath>
          <m:r>
            <m:t>SE = </m:t>
          </m:r>
          <m:f>
            <m:num>
              <m:r>
                <m:t>σₛ</m:t>
              </m:r>
            </m:num>
            <m:den>
              <m:r>
                <m:t>√Nᵈ</m:t>
              </m:r>
            </m:den>
          </m:f>
          <m:r>
            <m:t>    (ddof = 1)</m:t>
          </m:r>
        </m:oMath>
      </m:oMathPara>
    </w:p>
    <w:p>
      <w:pPr>
        <w:spacing w:before="120" w:after="240"/>
        <w:jc w:val="left"/>
      </w:pPr>
      <m:oMathPara>
        <m:oMath>
          <m:r>
            <m:t>CI = WII ± 1.96 × SE</m:t>
          </m:r>
        </m:oMath>
      </m:oMathPara>
    </w:p>
    <w:p>
      <w:pPr>
        <w:spacing w:after="120" w:line="288" w:lineRule="auto"/>
      </w:pPr>
      <w:r>
        <w:t>where σₛ is the sample standard deviation of the per-respondent scores and Nᵈ is the impact denominator size.</w:t>
      </w:r>
    </w:p>
    <w:p>
      <w:pPr>
        <w:spacing w:before="120" w:after="240"/>
        <w:ind w:left="576" w:right="576"/>
      </w:pPr>
      <w:r>
        <w:rPr>
          <w:i/>
          <w:color w:val="666666"/>
        </w:rPr>
        <w:t>All CIs assume simple random sampling — they will be revised once survey weights are introduced.</w:t>
      </w:r>
    </w:p>
    <w:p>
      <w:pPr>
        <w:keepNext/>
        <w:spacing w:before="480" w:after="160"/>
        <w:pBdr>
          <w:bottom w:val="single" w:sz="6" w:space="4" w:color="1F4E79"/>
        </w:pBdr>
      </w:pPr>
      <w:r>
        <w:rPr>
          <w:b/>
          <w:color w:val="1F4E79"/>
          <w:sz w:val="30"/>
        </w:rPr>
        <w:t>9. Minimum-N Suppression</w:t>
      </w:r>
    </w:p>
    <w:p>
      <w:pPr>
        <w:spacing w:after="120" w:line="288" w:lineRule="auto"/>
      </w:pPr>
      <w:r>
        <w:t xml:space="preserve">Any stratum × month cell with fewer than </w:t>
      </w:r>
      <w:r>
        <w:rPr>
          <w:b/>
        </w:rPr>
        <w:t>MIN_N (default 50)</w:t>
      </w:r>
      <w:r>
        <w:t xml:space="preserve"> respondents is flagged suppressed = true and its metric values are written as null. The dashboard does not display suppressed cells.</w:t>
      </w:r>
    </w:p>
    <w:p>
      <w:pPr>
        <w:spacing w:after="120" w:line="288" w:lineRule="auto"/>
      </w:pPr>
      <w:r>
        <w:t>The threshold applies at the finest stratum level. So if a country × gender × age cell has 41 respondents, that cell is suppressed, even if the corresponding country × gender (without age) cell has 600.</w:t>
      </w:r>
    </w:p>
    <w:p>
      <w:pPr>
        <w:spacing w:after="120" w:line="288" w:lineRule="auto"/>
      </w:pPr>
      <w:r>
        <w:t>MIN_N is configurable per run via the --min-n flag to main.py. The active value is stored in _meta.json and embedded in the rendered HTML as the suppression threshold shown in the dashboard subtitle.</w:t>
      </w:r>
    </w:p>
    <w:p>
      <w:pPr>
        <w:spacing w:after="120" w:line="288" w:lineRule="auto"/>
      </w:pPr>
      <w:r>
        <w:t>The dashboard also applies a separate UI threshold: the Gender and Age band dropdowns only list categories that have at least one non-suppressed cell — so options with no usable data anywhere are hidden.</w:t>
      </w:r>
    </w:p>
    <w:p>
      <w:pPr>
        <w:keepNext/>
        <w:spacing w:before="480" w:after="160"/>
        <w:pBdr>
          <w:bottom w:val="single" w:sz="6" w:space="4" w:color="1F4E79"/>
        </w:pBdr>
      </w:pPr>
      <w:r>
        <w:rPr>
          <w:b/>
          <w:color w:val="1F4E79"/>
          <w:sz w:val="30"/>
        </w:rPr>
        <w:t>10. Stratification (Country × Gender × Age)</w:t>
      </w:r>
    </w:p>
    <w:p>
      <w:pPr>
        <w:spacing w:after="120" w:line="288" w:lineRule="auto"/>
      </w:pPr>
      <w:r>
        <w:t>Every metric is computed independently for each of these eight stratum levels:</w:t>
      </w:r>
    </w:p>
    <w:tbl>
      <w:tblPr>
        <w:tblBorders>
          <w:top w:val="single" w:sz="4" w:space="0" w:color="CCCCCC"/>
          <w:start w:val="single" w:sz="4" w:space="0" w:color="CCCCCC"/>
          <w:bottom w:val="single" w:sz="4" w:space="0" w:color="CCCCCC"/>
          <w:end w:val="single" w:sz="4" w:space="0" w:color="CCCCCC"/>
          <w:insideH w:val="single" w:sz="4" w:space="0" w:color="CCCCCC"/>
          <w:insideV w:val="single" w:sz="4" w:space="0" w:color="CCCCCC"/>
        </w:tblBorders>
        <w:tblW w:type="auto" w:w="0"/>
        <w:jc w:val="center"/>
        <w:tblLook w:firstColumn="1" w:firstRow="1" w:lastColumn="0" w:lastRow="0" w:noHBand="0" w:noVBand="1" w:val="04A0"/>
      </w:tblPr>
      <w:tblGrid>
        <w:gridCol w:w="4680"/>
        <w:gridCol w:w="4680"/>
      </w:tblGrid>
      <w:tr>
        <w:tc>
          <w:tcPr>
            <w:tcW w:type="dxa" w:w="3600"/>
            <w:shd w:val="clear" w:color="auto" w:fill="1F4E79"/>
            <w:tcMar>
              <w:top w:w="100" w:type="dxa"/>
              <w:bottom w:w="100" w:type="dxa"/>
              <w:left w:w="150" w:type="dxa"/>
              <w:right w:w="150" w:type="dxa"/>
            </w:tcMar>
          </w:tcPr>
          <w:p>
            <w:pPr>
              <w:jc w:val="left"/>
            </w:pPr>
            <w:r>
              <w:rPr>
                <w:b/>
                <w:color w:val="FFFFFF"/>
                <w:sz w:val="19"/>
              </w:rPr>
              <w:t>Level</w:t>
            </w:r>
          </w:p>
        </w:tc>
        <w:tc>
          <w:tcPr>
            <w:tcW w:type="dxa" w:w="5760"/>
            <w:shd w:val="clear" w:color="auto" w:fill="1F4E79"/>
            <w:tcMar>
              <w:top w:w="100" w:type="dxa"/>
              <w:bottom w:w="100" w:type="dxa"/>
              <w:left w:w="150" w:type="dxa"/>
              <w:right w:w="150" w:type="dxa"/>
            </w:tcMar>
          </w:tcPr>
          <w:p>
            <w:pPr>
              <w:jc w:val="left"/>
            </w:pPr>
            <w:r>
              <w:rPr>
                <w:b/>
                <w:color w:val="FFFFFF"/>
                <w:sz w:val="19"/>
              </w:rPr>
              <w:t>Group-by columns (+ year, month)</w:t>
            </w:r>
          </w:p>
        </w:tc>
      </w:tr>
      <w:tr>
        <w:tc>
          <w:tcPr>
            <w:tcW w:type="dxa" w:w="3600"/>
            <w:tcMar>
              <w:top w:w="70" w:type="dxa"/>
              <w:bottom w:w="70" w:type="dxa"/>
              <w:left w:w="150" w:type="dxa"/>
              <w:right w:w="150" w:type="dxa"/>
            </w:tcMar>
          </w:tcPr>
          <w:p>
            <w:pPr>
              <w:jc w:val="left"/>
            </w:pPr>
            <w:r>
              <w:rPr>
                <w:rFonts w:ascii="Consolas" w:hAnsi="Consolas"/>
                <w:sz w:val="18"/>
              </w:rPr>
              <w:t>global</w:t>
            </w:r>
          </w:p>
        </w:tc>
        <w:tc>
          <w:tcPr>
            <w:tcW w:type="dxa" w:w="5760"/>
            <w:tcMar>
              <w:top w:w="70" w:type="dxa"/>
              <w:bottom w:w="70" w:type="dxa"/>
              <w:left w:w="150" w:type="dxa"/>
              <w:right w:w="150" w:type="dxa"/>
            </w:tcMar>
          </w:tcPr>
          <w:p>
            <w:pPr>
              <w:jc w:val="left"/>
            </w:pPr>
            <w:r>
              <w:rPr>
                <w:rFonts w:ascii="Consolas" w:hAnsi="Consolas"/>
                <w:sz w:val="18"/>
              </w:rPr>
              <w:t>—</w:t>
            </w:r>
          </w:p>
        </w:tc>
      </w:tr>
      <w:tr>
        <w:tc>
          <w:tcPr>
            <w:tcW w:type="dxa" w:w="3600"/>
            <w:tcMar>
              <w:top w:w="70" w:type="dxa"/>
              <w:bottom w:w="70" w:type="dxa"/>
              <w:left w:w="150" w:type="dxa"/>
              <w:right w:w="150" w:type="dxa"/>
            </w:tcMar>
            <w:shd w:val="clear" w:color="auto" w:fill="F9F9F9"/>
          </w:tcPr>
          <w:p>
            <w:pPr>
              <w:jc w:val="left"/>
            </w:pPr>
            <w:r>
              <w:rPr>
                <w:rFonts w:ascii="Consolas" w:hAnsi="Consolas"/>
                <w:sz w:val="18"/>
              </w:rPr>
              <w:t>country</w:t>
            </w:r>
          </w:p>
        </w:tc>
        <w:tc>
          <w:tcPr>
            <w:tcW w:type="dxa" w:w="5760"/>
            <w:tcMar>
              <w:top w:w="70" w:type="dxa"/>
              <w:bottom w:w="70" w:type="dxa"/>
              <w:left w:w="150" w:type="dxa"/>
              <w:right w:w="150" w:type="dxa"/>
            </w:tcMar>
            <w:shd w:val="clear" w:color="auto" w:fill="F9F9F9"/>
          </w:tcPr>
          <w:p>
            <w:pPr>
              <w:jc w:val="left"/>
            </w:pPr>
            <w:r>
              <w:rPr>
                <w:rFonts w:ascii="Consolas" w:hAnsi="Consolas"/>
                <w:sz w:val="18"/>
              </w:rPr>
              <w:t>country_clean</w:t>
            </w:r>
          </w:p>
        </w:tc>
      </w:tr>
      <w:tr>
        <w:tc>
          <w:tcPr>
            <w:tcW w:type="dxa" w:w="3600"/>
            <w:tcMar>
              <w:top w:w="70" w:type="dxa"/>
              <w:bottom w:w="70" w:type="dxa"/>
              <w:left w:w="150" w:type="dxa"/>
              <w:right w:w="150" w:type="dxa"/>
            </w:tcMar>
          </w:tcPr>
          <w:p>
            <w:pPr>
              <w:jc w:val="left"/>
            </w:pPr>
            <w:r>
              <w:rPr>
                <w:rFonts w:ascii="Consolas" w:hAnsi="Consolas"/>
                <w:sz w:val="18"/>
              </w:rPr>
              <w:t>gender</w:t>
            </w:r>
          </w:p>
        </w:tc>
        <w:tc>
          <w:tcPr>
            <w:tcW w:type="dxa" w:w="5760"/>
            <w:tcMar>
              <w:top w:w="70" w:type="dxa"/>
              <w:bottom w:w="70" w:type="dxa"/>
              <w:left w:w="150" w:type="dxa"/>
              <w:right w:w="150" w:type="dxa"/>
            </w:tcMar>
          </w:tcPr>
          <w:p>
            <w:pPr>
              <w:jc w:val="left"/>
            </w:pPr>
            <w:r>
              <w:rPr>
                <w:rFonts w:ascii="Consolas" w:hAnsi="Consolas"/>
                <w:sz w:val="18"/>
              </w:rPr>
              <w:t>gender_clean</w:t>
            </w:r>
          </w:p>
        </w:tc>
      </w:tr>
      <w:tr>
        <w:tc>
          <w:tcPr>
            <w:tcW w:type="dxa" w:w="3600"/>
            <w:tcMar>
              <w:top w:w="70" w:type="dxa"/>
              <w:bottom w:w="70" w:type="dxa"/>
              <w:left w:w="150" w:type="dxa"/>
              <w:right w:w="150" w:type="dxa"/>
            </w:tcMar>
            <w:shd w:val="clear" w:color="auto" w:fill="F9F9F9"/>
          </w:tcPr>
          <w:p>
            <w:pPr>
              <w:jc w:val="left"/>
            </w:pPr>
            <w:r>
              <w:rPr>
                <w:rFonts w:ascii="Consolas" w:hAnsi="Consolas"/>
                <w:sz w:val="18"/>
              </w:rPr>
              <w:t>age_band</w:t>
            </w:r>
          </w:p>
        </w:tc>
        <w:tc>
          <w:tcPr>
            <w:tcW w:type="dxa" w:w="5760"/>
            <w:tcMar>
              <w:top w:w="70" w:type="dxa"/>
              <w:bottom w:w="70" w:type="dxa"/>
              <w:left w:w="150" w:type="dxa"/>
              <w:right w:w="150" w:type="dxa"/>
            </w:tcMar>
            <w:shd w:val="clear" w:color="auto" w:fill="F9F9F9"/>
          </w:tcPr>
          <w:p>
            <w:pPr>
              <w:jc w:val="left"/>
            </w:pPr>
            <w:r>
              <w:rPr>
                <w:rFonts w:ascii="Consolas" w:hAnsi="Consolas"/>
                <w:sz w:val="18"/>
              </w:rPr>
              <w:t>age_band</w:t>
            </w:r>
          </w:p>
        </w:tc>
      </w:tr>
      <w:tr>
        <w:tc>
          <w:tcPr>
            <w:tcW w:type="dxa" w:w="3600"/>
            <w:tcMar>
              <w:top w:w="70" w:type="dxa"/>
              <w:bottom w:w="70" w:type="dxa"/>
              <w:left w:w="150" w:type="dxa"/>
              <w:right w:w="150" w:type="dxa"/>
            </w:tcMar>
          </w:tcPr>
          <w:p>
            <w:pPr>
              <w:jc w:val="left"/>
            </w:pPr>
            <w:r>
              <w:rPr>
                <w:rFonts w:ascii="Consolas" w:hAnsi="Consolas"/>
                <w:sz w:val="18"/>
              </w:rPr>
              <w:t>country_gender</w:t>
            </w:r>
          </w:p>
        </w:tc>
        <w:tc>
          <w:tcPr>
            <w:tcW w:type="dxa" w:w="5760"/>
            <w:tcMar>
              <w:top w:w="70" w:type="dxa"/>
              <w:bottom w:w="70" w:type="dxa"/>
              <w:left w:w="150" w:type="dxa"/>
              <w:right w:w="150" w:type="dxa"/>
            </w:tcMar>
          </w:tcPr>
          <w:p>
            <w:pPr>
              <w:jc w:val="left"/>
            </w:pPr>
            <w:r>
              <w:rPr>
                <w:rFonts w:ascii="Consolas" w:hAnsi="Consolas"/>
                <w:sz w:val="18"/>
              </w:rPr>
              <w:t>country_clean, gender_clean</w:t>
            </w:r>
          </w:p>
        </w:tc>
      </w:tr>
      <w:tr>
        <w:tc>
          <w:tcPr>
            <w:tcW w:type="dxa" w:w="3600"/>
            <w:tcMar>
              <w:top w:w="70" w:type="dxa"/>
              <w:bottom w:w="70" w:type="dxa"/>
              <w:left w:w="150" w:type="dxa"/>
              <w:right w:w="150" w:type="dxa"/>
            </w:tcMar>
            <w:shd w:val="clear" w:color="auto" w:fill="F9F9F9"/>
          </w:tcPr>
          <w:p>
            <w:pPr>
              <w:jc w:val="left"/>
            </w:pPr>
            <w:r>
              <w:rPr>
                <w:rFonts w:ascii="Consolas" w:hAnsi="Consolas"/>
                <w:sz w:val="18"/>
              </w:rPr>
              <w:t>country_age_band</w:t>
            </w:r>
          </w:p>
        </w:tc>
        <w:tc>
          <w:tcPr>
            <w:tcW w:type="dxa" w:w="5760"/>
            <w:tcMar>
              <w:top w:w="70" w:type="dxa"/>
              <w:bottom w:w="70" w:type="dxa"/>
              <w:left w:w="150" w:type="dxa"/>
              <w:right w:w="150" w:type="dxa"/>
            </w:tcMar>
            <w:shd w:val="clear" w:color="auto" w:fill="F9F9F9"/>
          </w:tcPr>
          <w:p>
            <w:pPr>
              <w:jc w:val="left"/>
            </w:pPr>
            <w:r>
              <w:rPr>
                <w:rFonts w:ascii="Consolas" w:hAnsi="Consolas"/>
                <w:sz w:val="18"/>
              </w:rPr>
              <w:t>country_clean, age_band</w:t>
            </w:r>
          </w:p>
        </w:tc>
      </w:tr>
      <w:tr>
        <w:tc>
          <w:tcPr>
            <w:tcW w:type="dxa" w:w="3600"/>
            <w:tcMar>
              <w:top w:w="70" w:type="dxa"/>
              <w:bottom w:w="70" w:type="dxa"/>
              <w:left w:w="150" w:type="dxa"/>
              <w:right w:w="150" w:type="dxa"/>
            </w:tcMar>
          </w:tcPr>
          <w:p>
            <w:pPr>
              <w:jc w:val="left"/>
            </w:pPr>
            <w:r>
              <w:rPr>
                <w:rFonts w:ascii="Consolas" w:hAnsi="Consolas"/>
                <w:sz w:val="18"/>
              </w:rPr>
              <w:t>gender_age_band</w:t>
            </w:r>
          </w:p>
        </w:tc>
        <w:tc>
          <w:tcPr>
            <w:tcW w:type="dxa" w:w="5760"/>
            <w:tcMar>
              <w:top w:w="70" w:type="dxa"/>
              <w:bottom w:w="70" w:type="dxa"/>
              <w:left w:w="150" w:type="dxa"/>
              <w:right w:w="150" w:type="dxa"/>
            </w:tcMar>
          </w:tcPr>
          <w:p>
            <w:pPr>
              <w:jc w:val="left"/>
            </w:pPr>
            <w:r>
              <w:rPr>
                <w:rFonts w:ascii="Consolas" w:hAnsi="Consolas"/>
                <w:sz w:val="18"/>
              </w:rPr>
              <w:t>gender_clean, age_band</w:t>
            </w:r>
          </w:p>
        </w:tc>
      </w:tr>
      <w:tr>
        <w:tc>
          <w:tcPr>
            <w:tcW w:type="dxa" w:w="3600"/>
            <w:tcMar>
              <w:top w:w="70" w:type="dxa"/>
              <w:bottom w:w="70" w:type="dxa"/>
              <w:left w:w="150" w:type="dxa"/>
              <w:right w:w="150" w:type="dxa"/>
            </w:tcMar>
            <w:shd w:val="clear" w:color="auto" w:fill="F9F9F9"/>
          </w:tcPr>
          <w:p>
            <w:pPr>
              <w:jc w:val="left"/>
            </w:pPr>
            <w:r>
              <w:rPr>
                <w:rFonts w:ascii="Consolas" w:hAnsi="Consolas"/>
                <w:sz w:val="18"/>
              </w:rPr>
              <w:t>country_gender_age_band</w:t>
            </w:r>
          </w:p>
        </w:tc>
        <w:tc>
          <w:tcPr>
            <w:tcW w:type="dxa" w:w="5760"/>
            <w:tcMar>
              <w:top w:w="70" w:type="dxa"/>
              <w:bottom w:w="70" w:type="dxa"/>
              <w:left w:w="150" w:type="dxa"/>
              <w:right w:w="150" w:type="dxa"/>
            </w:tcMar>
            <w:shd w:val="clear" w:color="auto" w:fill="F9F9F9"/>
          </w:tcPr>
          <w:p>
            <w:pPr>
              <w:jc w:val="left"/>
            </w:pPr>
            <w:r>
              <w:rPr>
                <w:rFonts w:ascii="Consolas" w:hAnsi="Consolas"/>
                <w:sz w:val="18"/>
              </w:rPr>
              <w:t>country_clean, gender_clean, age_band</w:t>
            </w:r>
          </w:p>
        </w:tc>
      </w:tr>
    </w:tbl>
    <w:p>
      <w:pPr>
        <w:spacing w:after="120" w:line="288" w:lineRule="auto"/>
      </w:pPr>
      <w:r>
        <w:t>The dashboard picks the finest level needed for the current filter combination so every displayed number is a precomputed cell value, not a JS-side aggregation:</w:t>
      </w:r>
    </w:p>
    <w:tbl>
      <w:tblPr>
        <w:tblBorders>
          <w:top w:val="single" w:sz="4" w:space="0" w:color="CCCCCC"/>
          <w:start w:val="single" w:sz="4" w:space="0" w:color="CCCCCC"/>
          <w:bottom w:val="single" w:sz="4" w:space="0" w:color="CCCCCC"/>
          <w:end w:val="single" w:sz="4" w:space="0" w:color="CCCCCC"/>
          <w:insideH w:val="single" w:sz="4" w:space="0" w:color="CCCCCC"/>
          <w:insideV w:val="single" w:sz="4" w:space="0" w:color="CCCCCC"/>
        </w:tblBorders>
        <w:tblW w:type="auto" w:w="0"/>
        <w:jc w:val="center"/>
        <w:tblLook w:firstColumn="1" w:firstRow="1" w:lastColumn="0" w:lastRow="0" w:noHBand="0" w:noVBand="1" w:val="04A0"/>
      </w:tblPr>
      <w:tblGrid>
        <w:gridCol w:w="4680"/>
        <w:gridCol w:w="4680"/>
      </w:tblGrid>
      <w:tr>
        <w:tc>
          <w:tcPr>
            <w:tcW w:type="dxa" w:w="4320"/>
            <w:shd w:val="clear" w:color="auto" w:fill="1F4E79"/>
            <w:tcMar>
              <w:top w:w="100" w:type="dxa"/>
              <w:bottom w:w="100" w:type="dxa"/>
              <w:left w:w="150" w:type="dxa"/>
              <w:right w:w="150" w:type="dxa"/>
            </w:tcMar>
          </w:tcPr>
          <w:p>
            <w:pPr>
              <w:jc w:val="left"/>
            </w:pPr>
            <w:r>
              <w:rPr>
                <w:b/>
                <w:color w:val="FFFFFF"/>
                <w:sz w:val="19"/>
              </w:rPr>
              <w:t>Filters</w:t>
            </w:r>
          </w:p>
        </w:tc>
        <w:tc>
          <w:tcPr>
            <w:tcW w:type="dxa" w:w="5040"/>
            <w:shd w:val="clear" w:color="auto" w:fill="1F4E79"/>
            <w:tcMar>
              <w:top w:w="100" w:type="dxa"/>
              <w:bottom w:w="100" w:type="dxa"/>
              <w:left w:w="150" w:type="dxa"/>
              <w:right w:w="150" w:type="dxa"/>
            </w:tcMar>
          </w:tcPr>
          <w:p>
            <w:pPr>
              <w:jc w:val="left"/>
            </w:pPr>
            <w:r>
              <w:rPr>
                <w:b/>
                <w:color w:val="FFFFFF"/>
                <w:sz w:val="19"/>
              </w:rPr>
              <w:t>Level used</w:t>
            </w:r>
          </w:p>
        </w:tc>
      </w:tr>
      <w:tr>
        <w:tc>
          <w:tcPr>
            <w:tcW w:type="dxa" w:w="4320"/>
            <w:tcMar>
              <w:top w:w="70" w:type="dxa"/>
              <w:bottom w:w="70" w:type="dxa"/>
              <w:left w:w="150" w:type="dxa"/>
              <w:right w:w="150" w:type="dxa"/>
            </w:tcMar>
          </w:tcPr>
          <w:p>
            <w:pPr>
              <w:jc w:val="left"/>
            </w:pPr>
            <w:r>
              <w:rPr>
                <w:sz w:val="19"/>
              </w:rPr>
              <w:t>no demographic filter</w:t>
            </w:r>
          </w:p>
        </w:tc>
        <w:tc>
          <w:tcPr>
            <w:tcW w:type="dxa" w:w="5040"/>
            <w:tcMar>
              <w:top w:w="70" w:type="dxa"/>
              <w:bottom w:w="70" w:type="dxa"/>
              <w:left w:w="150" w:type="dxa"/>
              <w:right w:w="150" w:type="dxa"/>
            </w:tcMar>
          </w:tcPr>
          <w:p>
            <w:pPr>
              <w:jc w:val="left"/>
            </w:pPr>
            <w:r>
              <w:rPr>
                <w:rFonts w:ascii="Consolas" w:hAnsi="Consolas"/>
                <w:sz w:val="18"/>
              </w:rPr>
              <w:t>country</w:t>
            </w:r>
          </w:p>
        </w:tc>
      </w:tr>
      <w:tr>
        <w:tc>
          <w:tcPr>
            <w:tcW w:type="dxa" w:w="4320"/>
            <w:tcMar>
              <w:top w:w="70" w:type="dxa"/>
              <w:bottom w:w="70" w:type="dxa"/>
              <w:left w:w="150" w:type="dxa"/>
              <w:right w:w="150" w:type="dxa"/>
            </w:tcMar>
            <w:shd w:val="clear" w:color="auto" w:fill="F9F9F9"/>
          </w:tcPr>
          <w:p>
            <w:pPr>
              <w:jc w:val="left"/>
            </w:pPr>
            <w:r>
              <w:rPr>
                <w:sz w:val="19"/>
              </w:rPr>
              <w:t>gender only</w:t>
            </w:r>
          </w:p>
        </w:tc>
        <w:tc>
          <w:tcPr>
            <w:tcW w:type="dxa" w:w="5040"/>
            <w:tcMar>
              <w:top w:w="70" w:type="dxa"/>
              <w:bottom w:w="70" w:type="dxa"/>
              <w:left w:w="150" w:type="dxa"/>
              <w:right w:w="150" w:type="dxa"/>
            </w:tcMar>
            <w:shd w:val="clear" w:color="auto" w:fill="F9F9F9"/>
          </w:tcPr>
          <w:p>
            <w:pPr>
              <w:jc w:val="left"/>
            </w:pPr>
            <w:r>
              <w:rPr>
                <w:rFonts w:ascii="Consolas" w:hAnsi="Consolas"/>
                <w:sz w:val="18"/>
              </w:rPr>
              <w:t>country_gender</w:t>
            </w:r>
          </w:p>
        </w:tc>
      </w:tr>
      <w:tr>
        <w:tc>
          <w:tcPr>
            <w:tcW w:type="dxa" w:w="4320"/>
            <w:tcMar>
              <w:top w:w="70" w:type="dxa"/>
              <w:bottom w:w="70" w:type="dxa"/>
              <w:left w:w="150" w:type="dxa"/>
              <w:right w:w="150" w:type="dxa"/>
            </w:tcMar>
          </w:tcPr>
          <w:p>
            <w:pPr>
              <w:jc w:val="left"/>
            </w:pPr>
            <w:r>
              <w:rPr>
                <w:sz w:val="19"/>
              </w:rPr>
              <w:t>age only</w:t>
            </w:r>
          </w:p>
        </w:tc>
        <w:tc>
          <w:tcPr>
            <w:tcW w:type="dxa" w:w="5040"/>
            <w:tcMar>
              <w:top w:w="70" w:type="dxa"/>
              <w:bottom w:w="70" w:type="dxa"/>
              <w:left w:w="150" w:type="dxa"/>
              <w:right w:w="150" w:type="dxa"/>
            </w:tcMar>
          </w:tcPr>
          <w:p>
            <w:pPr>
              <w:jc w:val="left"/>
            </w:pPr>
            <w:r>
              <w:rPr>
                <w:rFonts w:ascii="Consolas" w:hAnsi="Consolas"/>
                <w:sz w:val="18"/>
              </w:rPr>
              <w:t>country_age_band</w:t>
            </w:r>
          </w:p>
        </w:tc>
      </w:tr>
      <w:tr>
        <w:tc>
          <w:tcPr>
            <w:tcW w:type="dxa" w:w="4320"/>
            <w:tcMar>
              <w:top w:w="70" w:type="dxa"/>
              <w:bottom w:w="70" w:type="dxa"/>
              <w:left w:w="150" w:type="dxa"/>
              <w:right w:w="150" w:type="dxa"/>
            </w:tcMar>
            <w:shd w:val="clear" w:color="auto" w:fill="F9F9F9"/>
          </w:tcPr>
          <w:p>
            <w:pPr>
              <w:jc w:val="left"/>
            </w:pPr>
            <w:r>
              <w:rPr>
                <w:sz w:val="19"/>
              </w:rPr>
              <w:t>gender + age</w:t>
            </w:r>
          </w:p>
        </w:tc>
        <w:tc>
          <w:tcPr>
            <w:tcW w:type="dxa" w:w="5040"/>
            <w:tcMar>
              <w:top w:w="70" w:type="dxa"/>
              <w:bottom w:w="70" w:type="dxa"/>
              <w:left w:w="150" w:type="dxa"/>
              <w:right w:w="150" w:type="dxa"/>
            </w:tcMar>
            <w:shd w:val="clear" w:color="auto" w:fill="F9F9F9"/>
          </w:tcPr>
          <w:p>
            <w:pPr>
              <w:jc w:val="left"/>
            </w:pPr>
            <w:r>
              <w:rPr>
                <w:rFonts w:ascii="Consolas" w:hAnsi="Consolas"/>
                <w:sz w:val="18"/>
              </w:rPr>
              <w:t>country_gender_age_band</w:t>
            </w:r>
          </w:p>
        </w:tc>
      </w:tr>
    </w:tbl>
    <w:p>
      <w:pPr>
        <w:spacing w:after="120" w:line="288" w:lineRule="auto"/>
      </w:pPr>
      <w:r>
        <w:t>This is also why removing a demographic filter doesn't just average the cells back together — the dashboard re-loads the coarser stratum.</w:t>
      </w:r>
    </w:p>
    <w:p>
      <w:pPr>
        <w:keepNext/>
        <w:spacing w:before="480" w:after="160"/>
        <w:pBdr>
          <w:bottom w:val="single" w:sz="6" w:space="4" w:color="1F4E79"/>
        </w:pBdr>
      </w:pPr>
      <w:r>
        <w:rPr>
          <w:b/>
          <w:color w:val="1F4E79"/>
          <w:sz w:val="30"/>
        </w:rPr>
        <w:t>11. Rolling-Window Pooling (Period Filter)</w:t>
      </w:r>
    </w:p>
    <w:p>
      <w:pPr>
        <w:spacing w:after="120" w:line="288" w:lineRule="auto"/>
      </w:pPr>
      <w:r>
        <w:t>The dashboard's Period selector — Single month / Last 3 / Last 6 / Last 12 — pools the precomputed monthly cells into a rolling window. Pooling is done in the browser on the embedded JSON and does not change the published Parquet output.</w:t>
      </w:r>
    </w:p>
    <w:tbl>
      <w:tblPr>
        <w:tblBorders>
          <w:top w:val="single" w:sz="4" w:space="0" w:color="CCCCCC"/>
          <w:start w:val="single" w:sz="4" w:space="0" w:color="CCCCCC"/>
          <w:bottom w:val="single" w:sz="4" w:space="0" w:color="CCCCCC"/>
          <w:end w:val="single" w:sz="4" w:space="0" w:color="CCCCCC"/>
          <w:insideH w:val="single" w:sz="4" w:space="0" w:color="CCCCCC"/>
          <w:insideV w:val="single" w:sz="4" w:space="0" w:color="CCCCCC"/>
        </w:tblBorders>
        <w:tblW w:type="auto" w:w="0"/>
        <w:jc w:val="center"/>
        <w:tblLook w:firstColumn="1" w:firstRow="1" w:lastColumn="0" w:lastRow="0" w:noHBand="0" w:noVBand="1" w:val="04A0"/>
      </w:tblPr>
      <w:tblGrid>
        <w:gridCol w:w="3120"/>
        <w:gridCol w:w="3120"/>
        <w:gridCol w:w="3120"/>
      </w:tblGrid>
      <w:tr>
        <w:tc>
          <w:tcPr>
            <w:tcW w:type="dxa" w:w="4608"/>
            <w:shd w:val="clear" w:color="auto" w:fill="1F4E79"/>
            <w:tcMar>
              <w:top w:w="100" w:type="dxa"/>
              <w:bottom w:w="100" w:type="dxa"/>
              <w:left w:w="150" w:type="dxa"/>
              <w:right w:w="150" w:type="dxa"/>
            </w:tcMar>
          </w:tcPr>
          <w:p>
            <w:pPr>
              <w:jc w:val="left"/>
            </w:pPr>
            <w:r>
              <w:rPr>
                <w:b/>
                <w:color w:val="FFFFFF"/>
                <w:sz w:val="19"/>
              </w:rPr>
              <w:t>Field</w:t>
            </w:r>
          </w:p>
        </w:tc>
        <w:tc>
          <w:tcPr>
            <w:tcW w:type="dxa" w:w="2160"/>
            <w:shd w:val="clear" w:color="auto" w:fill="1F4E79"/>
            <w:tcMar>
              <w:top w:w="100" w:type="dxa"/>
              <w:bottom w:w="100" w:type="dxa"/>
              <w:left w:w="150" w:type="dxa"/>
              <w:right w:w="150" w:type="dxa"/>
            </w:tcMar>
          </w:tcPr>
          <w:p>
            <w:pPr>
              <w:jc w:val="center"/>
            </w:pPr>
            <w:r>
              <w:rPr>
                <w:b/>
                <w:color w:val="FFFFFF"/>
                <w:sz w:val="19"/>
              </w:rPr>
              <w:t>Aggregation</w:t>
            </w:r>
          </w:p>
        </w:tc>
        <w:tc>
          <w:tcPr>
            <w:tcW w:type="dxa" w:w="2592"/>
            <w:shd w:val="clear" w:color="auto" w:fill="1F4E79"/>
            <w:tcMar>
              <w:top w:w="100" w:type="dxa"/>
              <w:bottom w:w="100" w:type="dxa"/>
              <w:left w:w="150" w:type="dxa"/>
              <w:right w:w="150" w:type="dxa"/>
            </w:tcMar>
          </w:tcPr>
          <w:p>
            <w:pPr>
              <w:jc w:val="center"/>
            </w:pPr>
            <w:r>
              <w:rPr>
                <w:b/>
                <w:color w:val="FFFFFF"/>
                <w:sz w:val="19"/>
              </w:rPr>
              <w:t>Weight</w:t>
            </w:r>
          </w:p>
        </w:tc>
      </w:tr>
      <w:tr>
        <w:tc>
          <w:tcPr>
            <w:tcW w:type="dxa" w:w="4608"/>
            <w:tcMar>
              <w:top w:w="70" w:type="dxa"/>
              <w:bottom w:w="70" w:type="dxa"/>
              <w:left w:w="150" w:type="dxa"/>
              <w:right w:w="150" w:type="dxa"/>
            </w:tcMar>
          </w:tcPr>
          <w:p>
            <w:pPr>
              <w:jc w:val="left"/>
            </w:pPr>
            <w:r>
              <w:rPr>
                <w:sz w:val="19"/>
              </w:rPr>
              <w:t>n_respondents, n_impact_denominator</w:t>
            </w:r>
          </w:p>
        </w:tc>
        <w:tc>
          <w:tcPr>
            <w:tcW w:type="dxa" w:w="2160"/>
            <w:tcMar>
              <w:top w:w="70" w:type="dxa"/>
              <w:bottom w:w="70" w:type="dxa"/>
              <w:left w:w="150" w:type="dxa"/>
              <w:right w:w="150" w:type="dxa"/>
            </w:tcMar>
          </w:tcPr>
          <w:p>
            <w:pPr>
              <w:jc w:val="center"/>
            </w:pPr>
            <w:r>
              <w:rPr>
                <w:sz w:val="19"/>
              </w:rPr>
              <w:t>sum</w:t>
            </w:r>
          </w:p>
        </w:tc>
        <w:tc>
          <w:tcPr>
            <w:tcW w:type="dxa" w:w="2592"/>
            <w:tcMar>
              <w:top w:w="70" w:type="dxa"/>
              <w:bottom w:w="70" w:type="dxa"/>
              <w:left w:w="150" w:type="dxa"/>
              <w:right w:w="150" w:type="dxa"/>
            </w:tcMar>
          </w:tcPr>
          <w:p>
            <w:pPr>
              <w:jc w:val="center"/>
            </w:pPr>
            <w:r>
              <w:rPr>
                <w:sz w:val="19"/>
              </w:rPr>
              <w:t>—</w:t>
            </w:r>
          </w:p>
        </w:tc>
      </w:tr>
      <w:tr>
        <w:tc>
          <w:tcPr>
            <w:tcW w:type="dxa" w:w="4608"/>
            <w:tcMar>
              <w:top w:w="70" w:type="dxa"/>
              <w:bottom w:w="70" w:type="dxa"/>
              <w:left w:w="150" w:type="dxa"/>
              <w:right w:w="150" w:type="dxa"/>
            </w:tcMar>
            <w:shd w:val="clear" w:color="auto" w:fill="F9F9F9"/>
          </w:tcPr>
          <w:p>
            <w:pPr>
              <w:jc w:val="left"/>
            </w:pPr>
            <w:r>
              <w:rPr>
                <w:sz w:val="19"/>
              </w:rPr>
              <w:t>adoption_rate</w:t>
            </w:r>
          </w:p>
        </w:tc>
        <w:tc>
          <w:tcPr>
            <w:tcW w:type="dxa" w:w="2160"/>
            <w:tcMar>
              <w:top w:w="70" w:type="dxa"/>
              <w:bottom w:w="70" w:type="dxa"/>
              <w:left w:w="150" w:type="dxa"/>
              <w:right w:w="150" w:type="dxa"/>
            </w:tcMar>
            <w:shd w:val="clear" w:color="auto" w:fill="F9F9F9"/>
          </w:tcPr>
          <w:p>
            <w:pPr>
              <w:jc w:val="center"/>
            </w:pPr>
            <w:r>
              <w:rPr>
                <w:sz w:val="19"/>
              </w:rPr>
              <w:t>weighted mean</w:t>
            </w:r>
          </w:p>
        </w:tc>
        <w:tc>
          <w:tcPr>
            <w:tcW w:type="dxa" w:w="2592"/>
            <w:tcMar>
              <w:top w:w="70" w:type="dxa"/>
              <w:bottom w:w="70" w:type="dxa"/>
              <w:left w:w="150" w:type="dxa"/>
              <w:right w:w="150" w:type="dxa"/>
            </w:tcMar>
            <w:shd w:val="clear" w:color="auto" w:fill="F9F9F9"/>
          </w:tcPr>
          <w:p>
            <w:pPr>
              <w:jc w:val="center"/>
            </w:pPr>
            <w:r>
              <w:rPr>
                <w:sz w:val="19"/>
              </w:rPr>
              <w:t>n_respondents</w:t>
            </w:r>
          </w:p>
        </w:tc>
      </w:tr>
      <w:tr>
        <w:tc>
          <w:tcPr>
            <w:tcW w:type="dxa" w:w="4608"/>
            <w:tcMar>
              <w:top w:w="70" w:type="dxa"/>
              <w:bottom w:w="70" w:type="dxa"/>
              <w:left w:w="150" w:type="dxa"/>
              <w:right w:w="150" w:type="dxa"/>
            </w:tcMar>
          </w:tcPr>
          <w:p>
            <w:pPr>
              <w:jc w:val="left"/>
            </w:pPr>
            <w:r>
              <w:rPr>
                <w:sz w:val="19"/>
              </w:rPr>
              <w:t>weighted_impact_index, net_impact_index,</w:t>
              <w:br/>
              <w:t>all impact_share_*, positive/negative share</w:t>
            </w:r>
          </w:p>
        </w:tc>
        <w:tc>
          <w:tcPr>
            <w:tcW w:type="dxa" w:w="2160"/>
            <w:tcMar>
              <w:top w:w="70" w:type="dxa"/>
              <w:bottom w:w="70" w:type="dxa"/>
              <w:left w:w="150" w:type="dxa"/>
              <w:right w:w="150" w:type="dxa"/>
            </w:tcMar>
          </w:tcPr>
          <w:p>
            <w:pPr>
              <w:jc w:val="center"/>
            </w:pPr>
            <w:r>
              <w:rPr>
                <w:sz w:val="19"/>
              </w:rPr>
              <w:t>weighted mean</w:t>
            </w:r>
          </w:p>
        </w:tc>
        <w:tc>
          <w:tcPr>
            <w:tcW w:type="dxa" w:w="2592"/>
            <w:tcMar>
              <w:top w:w="70" w:type="dxa"/>
              <w:bottom w:w="70" w:type="dxa"/>
              <w:left w:w="150" w:type="dxa"/>
              <w:right w:w="150" w:type="dxa"/>
            </w:tcMar>
          </w:tcPr>
          <w:p>
            <w:pPr>
              <w:jc w:val="center"/>
            </w:pPr>
            <w:r>
              <w:rPr>
                <w:sz w:val="19"/>
              </w:rPr>
              <w:t>n_impact_denominator</w:t>
            </w:r>
          </w:p>
        </w:tc>
      </w:tr>
      <w:tr>
        <w:tc>
          <w:tcPr>
            <w:tcW w:type="dxa" w:w="4608"/>
            <w:tcMar>
              <w:top w:w="70" w:type="dxa"/>
              <w:bottom w:w="70" w:type="dxa"/>
              <w:left w:w="150" w:type="dxa"/>
              <w:right w:w="150" w:type="dxa"/>
            </w:tcMar>
            <w:shd w:val="clear" w:color="auto" w:fill="F9F9F9"/>
          </w:tcPr>
          <w:p>
            <w:pPr>
              <w:jc w:val="left"/>
            </w:pPr>
            <w:r>
              <w:rPr>
                <w:sz w:val="19"/>
              </w:rPr>
              <w:t>dose_response[k] (k = 1…6)</w:t>
            </w:r>
          </w:p>
        </w:tc>
        <w:tc>
          <w:tcPr>
            <w:tcW w:type="dxa" w:w="2160"/>
            <w:tcMar>
              <w:top w:w="70" w:type="dxa"/>
              <w:bottom w:w="70" w:type="dxa"/>
              <w:left w:w="150" w:type="dxa"/>
              <w:right w:w="150" w:type="dxa"/>
            </w:tcMar>
            <w:shd w:val="clear" w:color="auto" w:fill="F9F9F9"/>
          </w:tcPr>
          <w:p>
            <w:pPr>
              <w:jc w:val="center"/>
            </w:pPr>
            <w:r>
              <w:rPr>
                <w:sz w:val="19"/>
              </w:rPr>
              <w:t>weighted mean</w:t>
            </w:r>
          </w:p>
        </w:tc>
        <w:tc>
          <w:tcPr>
            <w:tcW w:type="dxa" w:w="2592"/>
            <w:tcMar>
              <w:top w:w="70" w:type="dxa"/>
              <w:bottom w:w="70" w:type="dxa"/>
              <w:left w:w="150" w:type="dxa"/>
              <w:right w:w="150" w:type="dxa"/>
            </w:tcMar>
            <w:shd w:val="clear" w:color="auto" w:fill="F9F9F9"/>
          </w:tcPr>
          <w:p>
            <w:pPr>
              <w:jc w:val="center"/>
            </w:pPr>
            <w:r>
              <w:rPr>
                <w:sz w:val="19"/>
              </w:rPr>
              <w:t>n_impact_denominator</w:t>
            </w:r>
          </w:p>
        </w:tc>
      </w:tr>
    </w:tbl>
    <w:p>
      <w:pPr>
        <w:spacing w:after="120" w:line="288" w:lineRule="auto"/>
      </w:pPr>
      <w:r>
        <w:rPr>
          <w:b/>
        </w:rPr>
        <w:t xml:space="preserve">This is approximate. </w:t>
      </w:r>
      <w:r>
        <w:t>The exact pooled value would require re-running the metric layer on the pooled respondent-level data. The dashboard's weighted-mean of monthly aggregates is correct in expectation but ignores within-month variance and does not produce new confidence intervals.</w:t>
      </w:r>
    </w:p>
    <w:p>
      <w:pPr>
        <w:spacing w:after="120" w:line="288" w:lineRule="auto"/>
      </w:pPr>
      <w:r>
        <w:t>Cells suppressed in a given month (originally below MIN_N) are dropped before pooling, so a country can appear in the rolling window even if some of its constituent months were individually suppressed.</w:t>
      </w:r>
    </w:p>
    <w:p>
      <w:pPr>
        <w:keepNext/>
        <w:spacing w:before="280" w:after="80"/>
      </w:pPr>
      <w:r>
        <w:rPr>
          <w:b/>
          <w:color w:val="2E74B5"/>
          <w:sz w:val="24"/>
        </w:rPr>
        <w:t>11.1  Pooling Formula</w:t>
      </w:r>
    </w:p>
    <w:p>
      <w:pPr>
        <w:spacing w:before="120" w:after="240"/>
        <w:jc w:val="left"/>
      </w:pPr>
      <m:oMathPara>
        <m:oMath>
          <m:sSub>
            <m:e>
              <m:r>
                <m:t>x</m:t>
              </m:r>
            </m:e>
            <m:sub>
              <m:r>
                <m:t>pooled</m:t>
              </m:r>
            </m:sub>
          </m:sSub>
          <m:r>
            <m:t> = </m:t>
          </m:r>
          <m:f>
            <m:num>
              <m:r>
                <m:t>∑ nₘ · xₘ</m:t>
              </m:r>
            </m:num>
            <m:den>
              <m:r>
                <m:t>∑ nₘ</m:t>
              </m:r>
            </m:den>
          </m:f>
        </m:oMath>
      </m:oMathPara>
    </w:p>
    <w:p>
      <w:pPr>
        <w:spacing w:after="120" w:line="288" w:lineRule="auto"/>
      </w:pPr>
      <w:r>
        <w:t>where m indexes months in the window and nₘ is the appropriate weight column for the metric class.</w:t>
      </w:r>
    </w:p>
    <w:p>
      <w:pPr>
        <w:keepNext/>
        <w:spacing w:before="480" w:after="160"/>
        <w:pBdr>
          <w:bottom w:val="single" w:sz="6" w:space="4" w:color="1F4E79"/>
        </w:pBdr>
      </w:pPr>
      <w:r>
        <w:rPr>
          <w:b/>
          <w:color w:val="1F4E79"/>
          <w:sz w:val="30"/>
        </w:rPr>
        <w:t>12. Summary Card (Dashboard)</w:t>
      </w:r>
    </w:p>
    <w:p>
      <w:pPr>
        <w:spacing w:after="120" w:line="288" w:lineRule="auto"/>
      </w:pPr>
      <w:r>
        <w:t>The top-right summary card on the dashboard is a fixed reference and is not affected by Month, Period, Country, Gender, or Age filters. It always shows:</w:t>
      </w:r>
    </w:p>
    <w:p>
      <w:pPr>
        <w:pStyle w:val="ListNumber"/>
        <w:spacing w:after="60" w:line="276" w:lineRule="auto"/>
      </w:pPr>
      <w:r>
        <w:t>The global weighted average of the currently-selected metric over the trailing 3 full months.</w:t>
      </w:r>
    </w:p>
    <w:p>
      <w:pPr>
        <w:pStyle w:val="ListNumber"/>
        <w:spacing w:after="60" w:line="276" w:lineRule="auto"/>
      </w:pPr>
      <w:r>
        <w:t>The total respondents over those 3 months.</w:t>
      </w:r>
    </w:p>
    <w:p>
      <w:pPr>
        <w:pStyle w:val="ListNumber"/>
        <w:spacing w:after="60" w:line="276" w:lineRule="auto"/>
      </w:pPr>
      <w:r>
        <w:t>The total respondents across the entire dataset to date.</w:t>
      </w:r>
    </w:p>
    <w:p>
      <w:pPr>
        <w:spacing w:after="120" w:line="288" w:lineRule="auto"/>
      </w:pPr>
      <w:r>
        <w:rPr>
          <w:b/>
        </w:rPr>
        <w:t xml:space="preserve">“Full” means non-partial. </w:t>
      </w:r>
      <w:r>
        <w:t>The dashboard detects the latest partial month by comparing each month's total respondents against the median of prior months — any month with respondents below 60% × median is considered still in-flight and excluded from the trailing-3 window. This is the same rule used to mark the partial point in the trend chart.</w:t>
      </w:r>
    </w:p>
    <w:p>
      <w:pPr>
        <w:spacing w:after="120" w:line="288" w:lineRule="auto"/>
      </w:pPr>
      <w:r>
        <w:t>Only the metric dropdown updates this card; switching metric swaps the displayed label and value but does not change the underlying 3-month window.</w:t>
      </w:r>
    </w:p>
    <w:p>
      <w:pPr>
        <w:keepNext/>
        <w:spacing w:before="480" w:after="160"/>
        <w:pBdr>
          <w:bottom w:val="single" w:sz="6" w:space="4" w:color="1F4E79"/>
        </w:pBdr>
      </w:pPr>
      <w:r>
        <w:rPr>
          <w:b/>
          <w:color w:val="1F4E79"/>
          <w:sz w:val="30"/>
        </w:rPr>
        <w:t>13. Known Limitations</w:t>
      </w:r>
    </w:p>
    <w:p>
      <w:pPr>
        <w:spacing w:after="120" w:line="288" w:lineRule="auto"/>
      </w:pPr>
      <w:r>
        <w:t>These limitations apply to every metric above.</w:t>
      </w:r>
    </w:p>
    <w:p>
      <w:pPr>
        <w:keepNext/>
        <w:spacing w:before="280" w:after="80"/>
      </w:pPr>
      <w:r>
        <w:rPr>
          <w:b/>
          <w:color w:val="2E74B5"/>
          <w:sz w:val="24"/>
        </w:rPr>
        <w:t>13.1  No Survey Weights (Non-Probability Sample)</w:t>
      </w:r>
    </w:p>
    <w:p>
      <w:pPr>
        <w:spacing w:after="120" w:line="288" w:lineRule="auto"/>
      </w:pPr>
      <w:r>
        <w:t>The GMP respondent pool is a convenience sample recruited via online ads (Google Display, Meta, and organic search). It carries no post-stratification or design weights. Demographic proportions in the data do not match national population proportions — countries, age groups, and genders are represented according to who encounters and completes the survey, not according to census benchmarks.</w:t>
      </w:r>
    </w:p>
    <w:p>
      <w:pPr>
        <w:spacing w:after="120" w:line="288" w:lineRule="auto"/>
      </w:pPr>
      <w:r>
        <w:t>All metrics are descriptive statistics of the responding population, not population-level estimates. Associations between ai_freq and impact outcomes are correlational; higher-frequency AI users who report better outcomes may differ systematically from lower-frequency users in education, occupation, digital literacy, or other unmeasured confounders. No causal claims are supported.</w:t>
      </w:r>
    </w:p>
    <w:p>
      <w:pPr>
        <w:spacing w:before="120" w:after="240"/>
        <w:ind w:left="576" w:right="576"/>
      </w:pPr>
      <w:r>
        <w:rPr>
          <w:i/>
          <w:color w:val="666666"/>
        </w:rPr>
        <w:t>Planned mitigation: Demographic-weighted averaging using UN World Population Prospects age–sex distributions is on the roadmap. This would rebalance age and gender composition within each country but would not address self-selection or unmeasured confounders.</w:t>
      </w:r>
    </w:p>
    <w:p>
      <w:pPr>
        <w:keepNext/>
        <w:spacing w:before="280" w:after="80"/>
      </w:pPr>
      <w:r>
        <w:rPr>
          <w:b/>
          <w:color w:val="2E74B5"/>
          <w:sz w:val="24"/>
        </w:rPr>
        <w:t>13.2  Composition Effects in Time-Series</w:t>
      </w:r>
    </w:p>
    <w:p>
      <w:pPr>
        <w:spacing w:after="120" w:line="288" w:lineRule="auto"/>
      </w:pPr>
      <w:r>
        <w:t>Month-over-month changes may reflect shifts in who is responding rather than genuine attitudinal change. If a recruitment campaign increases responses from a younger demographic in one month, and younger respondents tend to report more positive AI impacts, the global WII will rise even if no individual changed their view. Country mix changes and seasonal patterns in survey completion can similarly shift metrics.</w:t>
      </w:r>
    </w:p>
    <w:p>
      <w:pPr>
        <w:spacing w:after="120" w:line="288" w:lineRule="auto"/>
      </w:pPr>
      <w:r>
        <w:t>The stratified breakdowns (by country, gender, age) partially mitigate this by holding one dimension constant, but cross-dimensional composition effects remain. Rolling-window views help smooth short-term fluctuations.</w:t>
      </w:r>
    </w:p>
    <w:p>
      <w:pPr>
        <w:keepNext/>
        <w:spacing w:before="280" w:after="80"/>
      </w:pPr>
      <w:r>
        <w:rPr>
          <w:b/>
          <w:color w:val="2E74B5"/>
          <w:sz w:val="24"/>
        </w:rPr>
        <w:t>13.3  Weight Selection</w:t>
      </w:r>
    </w:p>
    <w:p>
      <w:pPr>
        <w:spacing w:after="120" w:line="288" w:lineRule="auto"/>
      </w:pPr>
      <w:r>
        <w:t>The nine IMPACT_WEIGHTS (§6) were chosen by stakeholder judgment, not derived from empirical data. Different weight schemes would produce different index values and could alter relative country rankings. Sensitivity analysis (varying weights within a plausible range) has not yet been conducted. The asymmetric design — total negative weight (−2.5) exceeding total positive weight (+1.5) — is intentional but should be disclosed when comparing WII values across studies.</w:t>
      </w:r>
    </w:p>
    <w:p>
      <w:pPr>
        <w:keepNext/>
        <w:spacing w:before="280" w:after="80"/>
      </w:pPr>
      <w:r>
        <w:rPr>
          <w:b/>
          <w:color w:val="2E74B5"/>
          <w:sz w:val="24"/>
        </w:rPr>
        <w:t>13.4  Rolling-Window Approximation</w:t>
      </w:r>
    </w:p>
    <w:p>
      <w:pPr>
        <w:spacing w:after="120" w:line="288" w:lineRule="auto"/>
      </w:pPr>
      <w:r>
        <w:t>Rolling-window pooling (§11) uses total n_respondents as approximate weights. The exact calculation would re-aggregate from individual-level data within the pooled window. The approximation introduces minor error (±1 percentage point within 3–6 month windows) because the impact denominator differs slightly from total N. This trade-off is accepted for client-side performance.</w:t>
      </w:r>
    </w:p>
    <w:p>
      <w:pPr>
        <w:keepNext/>
        <w:spacing w:before="280" w:after="80"/>
      </w:pPr>
      <w:r>
        <w:rPr>
          <w:b/>
          <w:color w:val="2E74B5"/>
          <w:sz w:val="24"/>
        </w:rPr>
        <w:t>13.5  Data Source Filtering Not Yet Implemented</w:t>
      </w:r>
    </w:p>
    <w:p>
      <w:pPr>
        <w:spacing w:after="120" w:line="288" w:lineRule="auto"/>
      </w:pPr>
      <w:r>
        <w:t>Per Tara's specification, the production version should restrict the respondent pool to Google Display and Meta traffic sources and down-weight organic/search traffic to 10%. This is not yet implemented; the current pipeline processes all traffic sources equally.</w:t>
      </w:r>
    </w:p>
    <w:p>
      <w:pPr>
        <w:keepNext/>
        <w:spacing w:before="280" w:after="80"/>
      </w:pPr>
      <w:r>
        <w:rPr>
          <w:b/>
          <w:color w:val="2E74B5"/>
          <w:sz w:val="24"/>
        </w:rPr>
        <w:t>13.6  Multi-Select Interaction Effects</w:t>
      </w:r>
    </w:p>
    <w:p>
      <w:pPr>
        <w:spacing w:after="120" w:line="288" w:lineRule="auto"/>
      </w:pPr>
      <w:r>
        <w:t>The WII treats each flag independently — a respondent selecting both “improved quality” (+0.5) and “job anxiety” (−0.25) receives the sum (+0.25). This additive model does not capture potential interactions between simultaneous positive and negative experiences.</w:t>
      </w:r>
    </w:p>
    <w:p>
      <w:pPr>
        <w:keepNext/>
        <w:spacing w:before="280" w:after="80"/>
      </w:pPr>
      <w:r>
        <w:rPr>
          <w:b/>
          <w:color w:val="2E74B5"/>
          <w:sz w:val="24"/>
        </w:rPr>
        <w:t>13.7  Suppression and Small-Cell Noise</w:t>
      </w:r>
    </w:p>
    <w:p>
      <w:pPr>
        <w:spacing w:after="120" w:line="288" w:lineRule="auto"/>
      </w:pPr>
      <w:r>
        <w:t>Strata with fewer than 50 respondents (MIN_N) are suppressed entirely. For strata just above the threshold (e.g., N = 55), confidence intervals are wide and point estimates can shift substantially with small data changes.</w:t>
      </w:r>
    </w:p>
    <w:p>
      <w:pPr>
        <w:keepNext/>
        <w:spacing w:before="280" w:after="80"/>
      </w:pPr>
      <w:r>
        <w:rPr>
          <w:b/>
          <w:color w:val="2E74B5"/>
          <w:sz w:val="24"/>
        </w:rPr>
        <w:t>13.8  CIs Assume Simple Random Sampling</w:t>
      </w:r>
    </w:p>
    <w:p>
      <w:pPr>
        <w:spacing w:after="120" w:line="288" w:lineRule="auto"/>
      </w:pPr>
      <w:r>
        <w:t>All confidence intervals are computed under a simple-random-sampling assumption. The GMP is a non-probability convenience sample, so the intervals represent variability due to finite sample size but do not account for design effects, clustering, or non-response bias. Confidence intervals will be revised once survey weights are introduced.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