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5B6B7A"/>
          <w:sz w:val="18"/>
          <w:szCs w:val="18"/>
        </w:rPr>
        <w:t xml:space="preserve">BBVA MI CASA — REQUERIMIENTOS FUNCIONALES</w:t>
      </w:r>
    </w:p>
    <w:p>
      <w:pPr>
        <w:pStyle w:val="Heading1"/>
        <w:spacing w:after="60"/>
      </w:pPr>
      <w:r>
        <w:rPr>
          <w:b/>
          <w:bCs/>
          <w:color w:val="0B1F3A"/>
        </w:rPr>
        <w:t xml:space="preserve">Módulo 5. Simulador de crédito hipotecario</w:t>
      </w:r>
    </w:p>
    <w:p>
      <w:pPr>
        <w:spacing w:after="220"/>
      </w:pPr>
      <w:r>
        <w:rPr>
          <w:i/>
          <w:iCs/>
          <w:color w:val="5B6B7A"/>
          <w:sz w:val="20"/>
          <w:szCs w:val="20"/>
        </w:rPr>
        <w:t xml:space="preserve">Requerimiento funcional  ·  15 de septiembre de 2026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1. Objetivo del módulo</w:t>
      </w:r>
    </w:p>
    <w:p>
      <w:pPr>
        <w:spacing w:after="140"/>
      </w:pPr>
      <w:r>
        <w:t xml:space="preserve">Estimar la capacidad de compra y la cuota mensual de un crédito hipotecario a tasa fija, a partir del ingreso, el enganche (o el precio de una propiedad puntual) y el plazo elegido — sin necesidad de tener una cuenta.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2. Alcance</w:t>
      </w:r>
    </w:p>
    <w:p>
      <w:pPr>
        <w:pStyle w:val="Heading3"/>
        <w:spacing w:after="80" w:before="180"/>
      </w:pPr>
      <w:r>
        <w:rPr>
          <w:b/>
          <w:bCs/>
          <w:color w:val="0B1F3A"/>
        </w:rPr>
        <w:t xml:space="preserve">Incluye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Modo genérico: ingreso + enganche (ingresado a mano) + plazo → devuelve hasta cuánto se puede considerar en propiedades.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Modo propiedad puntual (se llega desde su ficha o el ícono de calculadora de una card): el enganche se calcula automático a partir del precio de esa propiedad y el ingreso, sin pedirlo a mano.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Toggle "Soy cliente BBVA México" para aplicar una tasa preferencial.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Comparación de cuota mensual a 10 / 15 / 20 / 25 años.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Aviso si la cuota supera el 30% del ingreso; aviso positivo si el ingreso ya cubre el precio de la propiedad sin necesitar enganche adicional.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Guardar la simulación (dispara el login si no hay sesión activa — Módulo 1).</w:t>
      </w:r>
    </w:p>
    <w:p>
      <w:pPr>
        <w:pStyle w:val="Heading3"/>
        <w:spacing w:after="80" w:before="180"/>
      </w:pPr>
      <w:r>
        <w:rPr>
          <w:b/>
          <w:bCs/>
          <w:color w:val="0B1F3A"/>
        </w:rPr>
        <w:t xml:space="preserve">Fuera de alcance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Pre-aprobación real ni consulta a buró de crédito (ver Pendientes).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Tasas variables por perfil de riesgo — solo dos tasas fijas (pública / cliente BBVA).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Enganches mínimos regulatorios ni gastos de cierre/escrituración en el cálculo (ver Pendientes).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3. Actores / usuarios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Usuario anónimo: puede simular libremente, sin restricción.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Usuario logueado: además puede guardar la simulación en su historial.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4. Flujo funcional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El usuario entra al simulador (de forma genérica, o ya vinculado a una propiedad puntual desde el Módulo 3 o 4) — no requiere sesión.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Completa ingreso, plazo y (en modo genérico) el enganche disponible.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Ve el resultado en tiempo real: capacidad de compra o enganche necesario, cuota mensual, % de ingreso, comparación por plazo.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(Opcional) toca "Guardar simulación".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Si no hay sesión, se le pide login; al loguearse, la app vuelve al simulador y guarda la simulación con los datos que ya tenía cargados.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5. Reglas de negocio y validaciones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Tasa anual: 10.5% pública / 9.5% preferencial para cliente BBVA.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Cuota máxima considerada = ingreso mensual × 30%.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Crédito máximo = cuotaMáxima × (1 − (1+r)⁻ⁿ) / r, con r = tasa anual / 12 y n = plazo en meses.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Modo genérico: capacidad de compra = crédito máximo + enganche ingresado.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Modo propiedad puntual: enganche necesario = precio de la propiedad − crédito máximo (si el crédito ya cubre el precio, se muestra $0 y un aviso positivo en vez de un valor negativo).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6. Requerimientos de datos — equipo de Data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El resultado de la simulación (ingreso declarado, enganche, plazo, capacidad, cuota, tasa) es información financiera del usuario y debe tratarse como dato patrimonial bajo la normativa de protección de datos personales aplicable (LFPDPPP).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El ingreso declarado no debe quedar expuesto en logs de aplicación ni en analítica sin anonimizar.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Lo que se persiste al guardar una simulación se detalla en el Módulo 6.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7. Integraciones e infraestructura — equipo de Infraestructura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El cálculo puede resolverse client-side al no depender de datos externos; si a futuro se conecta a una tasa dinámica o a un motor de pre-aprobación real, esos parámetros deben resolverse del lado del servidor para evitar manipulación desde el cliente.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8. Requerimientos de seguridad — equipo de Seguridad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El simulador es de acceso público a propósito: no debe pedir ni almacenar ningún dato personal identificable antes de que exista una sesión.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Guardar una simulación requiere la sesión autenticada del Módulo 1.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9. Pendientes / decisiones abiertas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Definir si el simulador debe integrarse a un motor de pre-aprobación real o a consulta de buró de crédito.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Revisar la regla de negocio: con la fórmula actual, la cuota calculada siempre equivale al 30% exacto del ingreso, por lo que el aviso de "cuota &gt; 30% del ingreso" prácticamente nunca se dispara en el modo genérico — definir si esa regla debe aplicarse distinto.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Definir enganche mínimo regulatorio por tipo de propiedad y si deben contemplarse gastos de cierre/escrituración en el cálculo.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  <w:lvl w:ilvl="1" w15:tentative="1">
      <w:start w:val="1"/>
      <w:numFmt w:val="bullet"/>
      <w:lvlText w:val="◦"/>
      <w:lvlJc w:val="left"/>
      <w:pPr>
        <w:ind w:left="792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2026-09-15T13:48:30.836Z</dcterms:created>
  <dcterms:modified xsi:type="dcterms:W3CDTF">2026-09-15T13:48:30.836Z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