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6B7A"/>
          <w:sz w:val="18"/>
          <w:szCs w:val="18"/>
        </w:rPr>
        <w:t xml:space="preserve">BBVA MI CASA — REQUERIMIENTOS FUNCIONALES</w:t>
      </w:r>
    </w:p>
    <w:p>
      <w:pPr>
        <w:pStyle w:val="Heading1"/>
        <w:spacing w:after="60"/>
      </w:pPr>
      <w:r>
        <w:rPr>
          <w:b/>
          <w:bCs/>
          <w:color w:val="0B1F3A"/>
        </w:rPr>
        <w:t xml:space="preserve">Módulo 14. Accesos rápidos y funcionalidades pendientes de definición</w:t>
      </w:r>
    </w:p>
    <w:p>
      <w:pPr>
        <w:spacing w:after="220"/>
      </w:pPr>
      <w:r>
        <w:rPr>
          <w:i/>
          <w:iCs/>
          <w:color w:val="5B6B7A"/>
          <w:sz w:val="20"/>
          <w:szCs w:val="20"/>
        </w:rPr>
        <w:t xml:space="preserve">Requerimiento funcional  ·  15 de septiembre de 2026</w:t>
      </w:r>
    </w:p>
    <w:p>
      <w:pPr>
        <w:pStyle w:val="Heading2"/>
        <w:pBdr>
          <w:bottom w:val="single" w:color="D9DEE4" w:sz="4" w:space="4"/>
        </w:pBdr>
        <w:spacing w:after="120" w:before="300"/>
      </w:pPr>
      <w:r>
        <w:rPr>
          <w:b/>
          <w:bCs/>
          <w:color w:val="004481"/>
        </w:rPr>
        <w:t xml:space="preserve">1. Objetivo del módulo</w:t>
      </w:r>
    </w:p>
    <w:p>
      <w:pPr>
        <w:spacing w:after="140"/>
      </w:pPr>
      <w:r>
        <w:t xml:space="preserve">Dejar registro explícito de los puntos de la interfaz que ya están construidos visualmente pero cuya función real todavía no fue definida por negocio, para que ningún equipo los dé por terminados.</w:t>
      </w:r>
    </w:p>
    <w:p>
      <w:pPr>
        <w:pStyle w:val="Heading2"/>
        <w:pBdr>
          <w:bottom w:val="single" w:color="D9DEE4" w:sz="4" w:space="4"/>
        </w:pBdr>
        <w:spacing w:after="120" w:before="300"/>
      </w:pPr>
      <w:r>
        <w:rPr>
          <w:b/>
          <w:bCs/>
          <w:color w:val="004481"/>
        </w:rPr>
        <w:t xml:space="preserve">2. Alcance</w:t>
      </w:r>
    </w:p>
    <w:p>
      <w:pPr>
        <w:pStyle w:val="Heading3"/>
        <w:spacing w:after="80" w:before="180"/>
      </w:pPr>
      <w:r>
        <w:rPr>
          <w:b/>
          <w:bCs/>
          <w:color w:val="0B1F3A"/>
        </w:rPr>
        <w:t xml:space="preserve">Incluye</w:t>
      </w:r>
    </w:p>
    <w:p>
      <w:pPr>
        <w:pStyle w:val="ListParagraph"/>
        <w:numPr>
          <w:ilvl w:val="0"/>
          <w:numId w:val="2"/>
        </w:numPr>
        <w:spacing w:after="90"/>
      </w:pPr>
      <w:r>
        <w:t xml:space="preserve">Las 3 cards de accesos rápidos debajo del buscador de Inicio: "Conocer emprendimientos e inversiones", "Ser cliente BBVA para obtener una mejor tasa" y "Simular crédito para reformas".</w:t>
      </w:r>
    </w:p>
    <w:p>
      <w:pPr>
        <w:pStyle w:val="ListParagraph"/>
        <w:numPr>
          <w:ilvl w:val="0"/>
          <w:numId w:val="2"/>
        </w:numPr>
        <w:spacing w:after="90"/>
      </w:pPr>
      <w:r>
        <w:t xml:space="preserve">El botón "Contactar asesor" del header de desktop (entre "Simula tu Crédito" y "Ayuda"), con las opciones "Contactar asesor hipotecario" / "Contactar asesor inmobiliario".</w:t>
      </w:r>
    </w:p>
    <w:p>
      <w:pPr>
        <w:pStyle w:val="Heading3"/>
        <w:spacing w:after="80" w:before="180"/>
      </w:pPr>
      <w:r>
        <w:rPr>
          <w:b/>
          <w:bCs/>
          <w:color w:val="0B1F3A"/>
        </w:rPr>
        <w:t xml:space="preserve">Fuera de alcance</w:t>
      </w:r>
    </w:p>
    <w:p>
      <w:pPr>
        <w:pStyle w:val="ListParagraph"/>
        <w:numPr>
          <w:ilvl w:val="0"/>
          <w:numId w:val="2"/>
        </w:numPr>
        <w:spacing w:after="90"/>
      </w:pPr>
      <w:r>
        <w:t xml:space="preserve">No aplica — este documento es, en sí mismo, el registro de lo pendiente de definir.</w:t>
      </w:r>
    </w:p>
    <w:p>
      <w:pPr>
        <w:pStyle w:val="Heading2"/>
        <w:pBdr>
          <w:bottom w:val="single" w:color="D9DEE4" w:sz="4" w:space="4"/>
        </w:pBdr>
        <w:spacing w:after="120" w:before="300"/>
      </w:pPr>
      <w:r>
        <w:rPr>
          <w:b/>
          <w:bCs/>
          <w:color w:val="004481"/>
        </w:rPr>
        <w:t xml:space="preserve">3. Actores / usuarios</w:t>
      </w:r>
    </w:p>
    <w:p>
      <w:pPr>
        <w:pStyle w:val="ListParagraph"/>
        <w:numPr>
          <w:ilvl w:val="0"/>
          <w:numId w:val="2"/>
        </w:numPr>
        <w:spacing w:after="90"/>
      </w:pPr>
      <w:r>
        <w:t xml:space="preserve">Cualquier usuario puede ver estos elementos en la interfaz.</w:t>
      </w:r>
    </w:p>
    <w:p>
      <w:pPr>
        <w:pStyle w:val="Heading2"/>
        <w:pBdr>
          <w:bottom w:val="single" w:color="D9DEE4" w:sz="4" w:space="4"/>
        </w:pBdr>
        <w:spacing w:after="120" w:before="300"/>
      </w:pPr>
      <w:r>
        <w:rPr>
          <w:b/>
          <w:bCs/>
          <w:color w:val="004481"/>
        </w:rPr>
        <w:t xml:space="preserve">4. Flujo funcional</w:t>
      </w:r>
    </w:p>
    <w:p>
      <w:pPr>
        <w:pStyle w:val="ListParagraph"/>
        <w:numPr>
          <w:ilvl w:val="0"/>
          <w:numId w:val="3"/>
        </w:numPr>
        <w:spacing w:after="90"/>
      </w:pPr>
      <w:r>
        <w:t xml:space="preserve">Los 3 accesos rápidos y el botón "Contactar asesor" están visibles y son interactivos en la interfaz, a la espera de que negocio defina qué debe pasar al usarlos.</w:t>
      </w:r>
    </w:p>
    <w:p>
      <w:pPr>
        <w:pStyle w:val="Heading2"/>
        <w:pBdr>
          <w:bottom w:val="single" w:color="D9DEE4" w:sz="4" w:space="4"/>
        </w:pBdr>
        <w:spacing w:after="120" w:before="300"/>
      </w:pPr>
      <w:r>
        <w:rPr>
          <w:b/>
          <w:bCs/>
          <w:color w:val="004481"/>
        </w:rPr>
        <w:t xml:space="preserve">5. Reglas de negocio y validaciones</w:t>
      </w:r>
    </w:p>
    <w:p>
      <w:pPr>
        <w:pStyle w:val="ListParagraph"/>
        <w:numPr>
          <w:ilvl w:val="0"/>
          <w:numId w:val="2"/>
        </w:numPr>
        <w:spacing w:after="90"/>
      </w:pPr>
      <w:r>
        <w:t xml:space="preserve">No aplica hasta que se defina la función real de cada elemento.</w:t>
      </w:r>
    </w:p>
    <w:p>
      <w:pPr>
        <w:pStyle w:val="Heading2"/>
        <w:pBdr>
          <w:bottom w:val="single" w:color="D9DEE4" w:sz="4" w:space="4"/>
        </w:pBdr>
        <w:spacing w:after="120" w:before="300"/>
      </w:pPr>
      <w:r>
        <w:rPr>
          <w:b/>
          <w:bCs/>
          <w:color w:val="004481"/>
        </w:rPr>
        <w:t xml:space="preserve">6. Requerimientos de datos — equipo de Data</w:t>
      </w:r>
    </w:p>
    <w:p>
      <w:pPr>
        <w:pStyle w:val="ListParagraph"/>
        <w:numPr>
          <w:ilvl w:val="0"/>
          <w:numId w:val="2"/>
        </w:numPr>
        <w:spacing w:after="90"/>
      </w:pPr>
      <w:r>
        <w:t xml:space="preserve">No aplica hasta que se defina la función real de cada elemento.</w:t>
      </w:r>
    </w:p>
    <w:p>
      <w:pPr>
        <w:pStyle w:val="Heading2"/>
        <w:pBdr>
          <w:bottom w:val="single" w:color="D9DEE4" w:sz="4" w:space="4"/>
        </w:pBdr>
        <w:spacing w:after="120" w:before="300"/>
      </w:pPr>
      <w:r>
        <w:rPr>
          <w:b/>
          <w:bCs/>
          <w:color w:val="004481"/>
        </w:rPr>
        <w:t xml:space="preserve">7. Integraciones e infraestructura — equipo de Infraestructura</w:t>
      </w:r>
    </w:p>
    <w:p>
      <w:pPr>
        <w:pStyle w:val="ListParagraph"/>
        <w:numPr>
          <w:ilvl w:val="0"/>
          <w:numId w:val="2"/>
        </w:numPr>
        <w:spacing w:after="90"/>
      </w:pPr>
      <w:r>
        <w:t xml:space="preserve">No aplica hasta que se defina la función real de cada elemento.</w:t>
      </w:r>
    </w:p>
    <w:p>
      <w:pPr>
        <w:pStyle w:val="Heading2"/>
        <w:pBdr>
          <w:bottom w:val="single" w:color="D9DEE4" w:sz="4" w:space="4"/>
        </w:pBdr>
        <w:spacing w:after="120" w:before="300"/>
      </w:pPr>
      <w:r>
        <w:rPr>
          <w:b/>
          <w:bCs/>
          <w:color w:val="004481"/>
        </w:rPr>
        <w:t xml:space="preserve">8. Requerimientos de seguridad — equipo de Seguridad</w:t>
      </w:r>
    </w:p>
    <w:p>
      <w:pPr>
        <w:pStyle w:val="ListParagraph"/>
        <w:numPr>
          <w:ilvl w:val="0"/>
          <w:numId w:val="2"/>
        </w:numPr>
        <w:spacing w:after="90"/>
      </w:pPr>
      <w:r>
        <w:t xml:space="preserve">No aplica hasta que se defina la función real de cada elemento.</w:t>
      </w:r>
    </w:p>
    <w:p>
      <w:pPr>
        <w:pStyle w:val="Heading2"/>
        <w:pBdr>
          <w:bottom w:val="single" w:color="D9DEE4" w:sz="4" w:space="4"/>
        </w:pBdr>
        <w:spacing w:after="120" w:before="300"/>
      </w:pPr>
      <w:r>
        <w:rPr>
          <w:b/>
          <w:bCs/>
          <w:color w:val="004481"/>
        </w:rPr>
        <w:t xml:space="preserve">9. Pendientes / decisiones abiertas</w:t>
      </w:r>
    </w:p>
    <w:p>
      <w:pPr>
        <w:pStyle w:val="ListParagraph"/>
        <w:numPr>
          <w:ilvl w:val="0"/>
          <w:numId w:val="2"/>
        </w:numPr>
        <w:spacing w:after="90"/>
      </w:pPr>
      <w:r>
        <w:t xml:space="preserve">Definir qué debe mostrar/hacer cada uno de los 3 accesos rápidos: ¿un catálogo de emprendimientos e inversiones? ¿información de beneficios de ser cliente BBVA? ¿un simulador de crédito para reformas, distinto al hipotecario del Módulo 5?</w:t>
      </w:r>
    </w:p>
    <w:p>
      <w:pPr>
        <w:pStyle w:val="ListParagraph"/>
        <w:numPr>
          <w:ilvl w:val="0"/>
          <w:numId w:val="2"/>
        </w:numPr>
        <w:spacing w:after="90"/>
      </w:pPr>
      <w:r>
        <w:t xml:space="preserve">Definir si "Contactar asesor" del header debe reusar el mismo canal del Módulo 10, o si necesita uno propio para consultas generales sin propiedad ni simulación asociada.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2026-09-15T13:48:30.869Z</dcterms:created>
  <dcterms:modified xsi:type="dcterms:W3CDTF">2026-09-15T13:48:30.869Z</dcterms:modified>
</cp:coreProperties>
</file>

<file path=docProps/custom.xml><?xml version="1.0" encoding="utf-8"?>
<Properties xmlns="http://schemas.openxmlformats.org/officeDocument/2006/custom-properties" xmlns:vt="http://schemas.openxmlformats.org/officeDocument/2006/docPropsVTypes"/>
</file>