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bidi w:val="0"/>
        <w:spacing w:lineRule="auto" w:line="240" w:beforeAutospacing="0" w:before="0" w:afterAutospacing="0" w:after="0"/>
        <w:ind w:left="0" w:right="0" w:hanging="0"/>
        <w:jc w:val="left"/>
        <w:rPr/>
      </w:pPr>
      <w:r>
        <w:rPr>
          <w:rFonts w:cs="Noto Sans" w:ascii="Noto Sans" w:hAnsi="Noto Sans"/>
          <w:sz w:val="22"/>
          <w:szCs w:val="22"/>
        </w:rPr>
        <w:t>Museo Universitario Arte Contemporáneo, UNAM</w:t>
      </w:r>
    </w:p>
    <w:p>
      <w:pPr>
        <w:pStyle w:val="NoSpacing"/>
        <w:rPr>
          <w:rFonts w:ascii="Noto Sans" w:hAnsi="Noto Sans" w:cs="Noto Sans"/>
          <w:sz w:val="22"/>
          <w:szCs w:val="22"/>
        </w:rPr>
      </w:pPr>
      <w:r>
        <w:rPr>
          <w:rFonts w:cs="Noto Sans" w:ascii="Noto Sans" w:hAnsi="Noto Sans"/>
          <w:sz w:val="22"/>
          <w:szCs w:val="22"/>
        </w:rPr>
        <w:t>Jueves 12 de noviembre, 19:00 h</w:t>
        <w:tab/>
      </w:r>
    </w:p>
    <w:p>
      <w:pPr>
        <w:pStyle w:val="NoSpacing"/>
        <w:rPr>
          <w:rFonts w:ascii="Noto Sans" w:hAnsi="Noto Sans" w:cs="Noto Sans"/>
          <w:sz w:val="22"/>
          <w:szCs w:val="22"/>
        </w:rPr>
      </w:pPr>
      <w:r>
        <w:rPr>
          <w:rFonts w:cs="Noto Sans" w:ascii="Noto Sans" w:hAnsi="Noto Sans"/>
          <w:sz w:val="22"/>
          <w:szCs w:val="22"/>
        </w:rPr>
      </w:r>
    </w:p>
    <w:p>
      <w:pPr>
        <w:pStyle w:val="NoSpacing"/>
        <w:rPr/>
      </w:pPr>
      <w:r>
        <w:rPr>
          <w:rFonts w:cs="Noto Sans" w:ascii="Noto Sans" w:hAnsi="Noto Sans"/>
          <w:sz w:val="22"/>
          <w:szCs w:val="22"/>
        </w:rPr>
        <w:t>e-piano</w:t>
      </w:r>
    </w:p>
    <w:p>
      <w:pPr>
        <w:pStyle w:val="NoSpacing"/>
        <w:rPr/>
      </w:pPr>
      <w:r>
        <w:rPr>
          <w:rFonts w:cs="Noto Sans" w:ascii="Noto Sans" w:hAnsi="Noto Sans"/>
          <w:sz w:val="22"/>
          <w:szCs w:val="22"/>
        </w:rPr>
        <w:t>Diálogos entre piano, imagen y electrónica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lang w:val="it-IT"/>
        </w:rPr>
      </w:pPr>
      <w:r>
        <w:rPr>
          <w:rFonts w:cs="Noto Sans" w:ascii="Noto Sans" w:hAnsi="Noto Sans"/>
          <w:sz w:val="22"/>
          <w:szCs w:val="22"/>
          <w:lang w:val="it-IT"/>
        </w:rPr>
        <w:t>Programa</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Iñaki Estrada</w:t>
      </w:r>
      <w:r>
        <w:rPr/>
        <w:tab/>
      </w:r>
    </w:p>
    <w:p>
      <w:pPr>
        <w:pStyle w:val="NoSpacing"/>
        <w:bidi w:val="0"/>
        <w:spacing w:lineRule="auto" w:line="240" w:beforeAutospacing="0" w:before="0" w:afterAutospacing="0" w:after="0"/>
        <w:ind w:left="0" w:right="0" w:hanging="0"/>
        <w:jc w:val="left"/>
        <w:rPr/>
      </w:pPr>
      <w:r>
        <w:rPr>
          <w:rFonts w:cs="Noto Sans" w:ascii="Noto Sans" w:hAnsi="Noto Sans"/>
          <w:i/>
          <w:iCs/>
          <w:sz w:val="22"/>
          <w:szCs w:val="22"/>
          <w:lang w:val="it-IT"/>
        </w:rPr>
        <w:t xml:space="preserve">I+D </w:t>
      </w:r>
      <w:r>
        <w:rPr>
          <w:rFonts w:cs="Noto Sans" w:ascii="Noto Sans" w:hAnsi="Noto Sans"/>
          <w:i w:val="false"/>
          <w:iCs w:val="false"/>
          <w:sz w:val="22"/>
          <w:szCs w:val="22"/>
          <w:lang w:val="it-IT"/>
        </w:rPr>
        <w:t>(2010)</w:t>
      </w:r>
      <w:r>
        <w:rPr/>
        <w:tab/>
        <w:tab/>
        <w:tab/>
        <w:tab/>
        <w:tab/>
        <w:tab/>
        <w:tab/>
        <w:tab/>
        <w:tab/>
        <w:tab/>
      </w:r>
      <w:r>
        <w:rPr>
          <w:rFonts w:cs="Noto Sans" w:ascii="Noto Sans" w:hAnsi="Noto Sans"/>
          <w:sz w:val="22"/>
          <w:szCs w:val="22"/>
          <w:lang w:val="it-IT"/>
        </w:rPr>
        <w:t>10’</w:t>
      </w:r>
    </w:p>
    <w:p>
      <w:pPr>
        <w:pStyle w:val="NoSpacing"/>
        <w:bidi w:val="0"/>
        <w:spacing w:lineRule="auto" w:line="240" w:beforeAutospacing="0" w:before="0" w:afterAutospacing="0" w:after="0"/>
        <w:ind w:left="0" w:right="0" w:hanging="0"/>
        <w:jc w:val="left"/>
        <w:rPr>
          <w:rFonts w:ascii="Noto Sans" w:hAnsi="Noto Sans" w:cs="Noto Sans"/>
          <w:sz w:val="20"/>
          <w:szCs w:val="20"/>
          <w:lang w:val="it-IT"/>
        </w:rPr>
      </w:pPr>
      <w:r>
        <w:rPr>
          <w:rFonts w:cs="Noto Sans" w:ascii="Noto Sans" w:hAnsi="Noto Sans"/>
          <w:sz w:val="20"/>
          <w:szCs w:val="20"/>
          <w:lang w:val="it-IT"/>
        </w:rPr>
        <w:t>Video de Paloma Pájaro</w:t>
      </w:r>
    </w:p>
    <w:p>
      <w:pPr>
        <w:pStyle w:val="NoSpacing"/>
        <w:rPr>
          <w:rFonts w:ascii="Noto Sans" w:hAnsi="Noto Sans" w:cs="Noto Sans"/>
          <w:sz w:val="22"/>
          <w:szCs w:val="22"/>
        </w:rPr>
      </w:pPr>
      <w:r>
        <w:rPr>
          <w:rFonts w:cs="Noto Sans" w:ascii="Noto Sans" w:hAnsi="Noto Sans"/>
          <w:sz w:val="22"/>
          <w:szCs w:val="22"/>
          <w:lang w:val="it-IT"/>
        </w:rPr>
        <w:tab/>
        <w:tab/>
        <w:tab/>
        <w:tab/>
        <w:tab/>
        <w:tab/>
        <w:tab/>
        <w:tab/>
      </w:r>
    </w:p>
    <w:p>
      <w:pPr>
        <w:pStyle w:val="NoSpacing"/>
        <w:rPr>
          <w:rFonts w:ascii="Noto Sans" w:hAnsi="Noto Sans" w:cs="Noto Sans"/>
          <w:b/>
          <w:b/>
          <w:bCs/>
          <w:sz w:val="22"/>
          <w:szCs w:val="22"/>
          <w:highlight w:val="yellow"/>
        </w:rPr>
      </w:pPr>
      <w:r>
        <w:rPr>
          <w:rFonts w:cs="Noto Sans" w:ascii="Noto Sans" w:hAnsi="Noto Sans"/>
          <w:b/>
          <w:bCs/>
          <w:sz w:val="22"/>
          <w:szCs w:val="22"/>
        </w:rPr>
        <w:t>Raquel García-Tomás</w:t>
      </w:r>
      <w:r>
        <w:rPr/>
        <w:tab/>
      </w:r>
    </w:p>
    <w:p>
      <w:pPr>
        <w:pStyle w:val="NoSpacing"/>
        <w:rPr/>
      </w:pPr>
      <w:r>
        <w:rPr>
          <w:rFonts w:cs="Noto Sans" w:ascii="Noto Sans" w:hAnsi="Noto Sans"/>
          <w:i/>
          <w:iCs/>
          <w:sz w:val="22"/>
          <w:szCs w:val="22"/>
        </w:rPr>
        <w:t xml:space="preserve">Tangible </w:t>
      </w:r>
      <w:r>
        <w:rPr>
          <w:rFonts w:cs="Noto Sans" w:ascii="Noto Sans" w:hAnsi="Noto Sans"/>
          <w:i w:val="false"/>
          <w:iCs w:val="false"/>
          <w:sz w:val="22"/>
          <w:szCs w:val="22"/>
        </w:rPr>
        <w:t>(2012)</w:t>
      </w:r>
      <w:r>
        <w:rPr/>
        <w:tab/>
        <w:tab/>
        <w:tab/>
        <w:tab/>
        <w:tab/>
        <w:tab/>
        <w:tab/>
        <w:tab/>
        <w:tab/>
      </w:r>
      <w:r>
        <w:rPr>
          <w:rFonts w:cs="Noto Sans" w:ascii="Noto Sans" w:hAnsi="Noto Sans"/>
          <w:sz w:val="22"/>
          <w:szCs w:val="22"/>
        </w:rPr>
        <w:t>8’</w:t>
      </w:r>
      <w:r>
        <w:rPr>
          <w:rFonts w:cs="Noto Sans" w:ascii="Noto Sans" w:hAnsi="Noto Sans"/>
          <w:b/>
          <w:bCs/>
          <w:sz w:val="22"/>
          <w:szCs w:val="22"/>
        </w:rPr>
        <w:t xml:space="preserve"> </w:t>
      </w:r>
    </w:p>
    <w:p>
      <w:pPr>
        <w:pStyle w:val="NoSpacing"/>
        <w:rPr>
          <w:rFonts w:ascii="Noto Sans" w:hAnsi="Noto Sans" w:cs="Noto Sans"/>
          <w:b w:val="false"/>
          <w:b w:val="false"/>
          <w:bCs w:val="false"/>
          <w:sz w:val="20"/>
          <w:szCs w:val="20"/>
        </w:rPr>
      </w:pPr>
      <w:r>
        <w:rPr>
          <w:rFonts w:cs="Noto Sans" w:ascii="Noto Sans" w:hAnsi="Noto Sans"/>
          <w:b w:val="false"/>
          <w:bCs w:val="false"/>
          <w:sz w:val="20"/>
          <w:szCs w:val="20"/>
        </w:rPr>
        <w:t>Video de Pere Ginard</w:t>
      </w:r>
    </w:p>
    <w:p>
      <w:pPr>
        <w:pStyle w:val="NoSpacing"/>
        <w:rPr>
          <w:rFonts w:ascii="Noto Sans" w:hAnsi="Noto Sans" w:cs="Noto Sans"/>
          <w:b/>
          <w:b/>
          <w:bCs/>
          <w:sz w:val="22"/>
          <w:szCs w:val="22"/>
        </w:rPr>
      </w:pPr>
      <w:r>
        <w:rPr>
          <w:rFonts w:cs="Noto Sans" w:ascii="Noto Sans" w:hAnsi="Noto Sans"/>
          <w:b/>
          <w:bCs/>
          <w:sz w:val="22"/>
          <w:szCs w:val="22"/>
        </w:rPr>
      </w:r>
    </w:p>
    <w:p>
      <w:pPr>
        <w:pStyle w:val="NoSpacing"/>
        <w:rPr>
          <w:rFonts w:ascii="Noto Sans" w:hAnsi="Noto Sans" w:cs="Noto Sans"/>
          <w:b/>
          <w:b/>
          <w:bCs/>
          <w:sz w:val="22"/>
          <w:szCs w:val="22"/>
        </w:rPr>
      </w:pPr>
      <w:r>
        <w:rPr>
          <w:rFonts w:cs="Noto Sans" w:ascii="Noto Sans" w:hAnsi="Noto Sans"/>
          <w:b/>
          <w:bCs/>
          <w:sz w:val="22"/>
          <w:szCs w:val="22"/>
        </w:rPr>
        <w:t>Arturo Fuentes</w:t>
      </w:r>
      <w:r>
        <w:rPr/>
        <w:tab/>
      </w:r>
    </w:p>
    <w:p>
      <w:pPr>
        <w:pStyle w:val="NoSpacing"/>
        <w:rPr>
          <w:rFonts w:ascii="Noto Sans" w:hAnsi="Noto Sans" w:cs="Noto Sans"/>
          <w:sz w:val="22"/>
          <w:szCs w:val="22"/>
        </w:rPr>
      </w:pPr>
      <w:r>
        <w:rPr>
          <w:rFonts w:cs="Noto Sans" w:ascii="Noto Sans" w:hAnsi="Noto Sans"/>
          <w:i/>
          <w:iCs/>
          <w:sz w:val="22"/>
          <w:szCs w:val="22"/>
        </w:rPr>
        <w:t xml:space="preserve">Disparate volante </w:t>
      </w:r>
      <w:r>
        <w:rPr>
          <w:rFonts w:cs="Noto Sans" w:ascii="Noto Sans" w:hAnsi="Noto Sans"/>
          <w:i w:val="false"/>
          <w:iCs w:val="false"/>
          <w:sz w:val="22"/>
          <w:szCs w:val="22"/>
        </w:rPr>
        <w:t>(2009)</w:t>
      </w:r>
      <w:r>
        <w:rPr/>
        <w:tab/>
        <w:tab/>
        <w:tab/>
        <w:tab/>
        <w:tab/>
        <w:tab/>
        <w:tab/>
        <w:tab/>
      </w:r>
      <w:r>
        <w:rPr>
          <w:rFonts w:cs="Noto Sans" w:ascii="Noto Sans" w:hAnsi="Noto Sans"/>
          <w:sz w:val="22"/>
          <w:szCs w:val="22"/>
        </w:rPr>
        <w:t>10’</w:t>
      </w:r>
    </w:p>
    <w:p>
      <w:pPr>
        <w:pStyle w:val="NoSpacing"/>
        <w:rPr>
          <w:rFonts w:ascii="Noto Sans" w:hAnsi="Noto Sans" w:cs="Noto Sans"/>
          <w:sz w:val="20"/>
          <w:szCs w:val="20"/>
          <w:lang w:val="en-US"/>
        </w:rPr>
      </w:pPr>
      <w:r>
        <w:rPr>
          <w:rFonts w:cs="Noto Sans" w:ascii="Noto Sans" w:hAnsi="Noto Sans"/>
          <w:sz w:val="22"/>
          <w:szCs w:val="22"/>
        </w:rPr>
        <w:tab/>
        <w:tab/>
        <w:tab/>
        <w:tab/>
        <w:tab/>
        <w:tab/>
        <w:tab/>
        <w:tab/>
      </w:r>
      <w:r>
        <w:rPr>
          <w:rFonts w:cs="Noto Sans" w:ascii="Noto Sans" w:hAnsi="Noto Sans"/>
          <w:sz w:val="20"/>
          <w:szCs w:val="20"/>
          <w:lang w:val="en-US"/>
        </w:rPr>
        <w:t>Video de Emmanuel Flores</w:t>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b/>
          <w:b/>
          <w:bCs/>
          <w:sz w:val="22"/>
          <w:szCs w:val="22"/>
          <w:lang w:val="en-US"/>
        </w:rPr>
      </w:pPr>
      <w:r>
        <w:rPr>
          <w:rFonts w:cs="Noto Sans" w:ascii="Noto Sans" w:hAnsi="Noto Sans"/>
          <w:b/>
          <w:bCs/>
          <w:sz w:val="22"/>
          <w:szCs w:val="22"/>
          <w:lang w:val="en-US"/>
        </w:rPr>
        <w:t>Georgina Derbez</w:t>
        <w:tab/>
      </w:r>
    </w:p>
    <w:p>
      <w:pPr>
        <w:pStyle w:val="NoSpacing"/>
        <w:rPr/>
      </w:pPr>
      <w:r>
        <w:rPr>
          <w:rFonts w:cs="Noto Sans" w:ascii="Noto Sans" w:hAnsi="Noto Sans"/>
          <w:i/>
          <w:iCs/>
          <w:sz w:val="22"/>
          <w:szCs w:val="22"/>
        </w:rPr>
        <w:t xml:space="preserve">Expandable Self </w:t>
      </w:r>
      <w:r>
        <w:rPr>
          <w:rFonts w:cs="Noto Sans" w:ascii="Noto Sans" w:hAnsi="Noto Sans"/>
          <w:i w:val="false"/>
          <w:iCs w:val="false"/>
          <w:sz w:val="22"/>
          <w:szCs w:val="22"/>
        </w:rPr>
        <w:t>(2021)</w:t>
      </w:r>
      <w:r>
        <w:rPr/>
        <w:tab/>
        <w:tab/>
        <w:tab/>
        <w:tab/>
        <w:tab/>
        <w:tab/>
        <w:tab/>
        <w:tab/>
      </w:r>
      <w:r>
        <w:rPr>
          <w:rFonts w:cs="Noto Sans" w:ascii="Noto Sans" w:hAnsi="Noto Sans"/>
          <w:sz w:val="22"/>
          <w:szCs w:val="22"/>
        </w:rPr>
        <w:t>5’</w:t>
      </w:r>
    </w:p>
    <w:p>
      <w:pPr>
        <w:pStyle w:val="NoSpacing"/>
        <w:rPr>
          <w:rFonts w:ascii="Noto Sans" w:hAnsi="Noto Sans" w:cs="Noto Sans"/>
          <w:sz w:val="20"/>
          <w:szCs w:val="20"/>
        </w:rPr>
      </w:pPr>
      <w:r>
        <w:rPr>
          <w:rFonts w:cs="Noto Sans" w:ascii="Noto Sans" w:hAnsi="Noto Sans"/>
          <w:sz w:val="20"/>
          <w:szCs w:val="20"/>
        </w:rPr>
        <w:t>Imágenes de Sandra Pani</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i/>
          <w:iCs/>
          <w:sz w:val="22"/>
          <w:szCs w:val="22"/>
        </w:rPr>
        <w:t xml:space="preserve">Las pupilas de la luna </w:t>
      </w:r>
      <w:r>
        <w:rPr>
          <w:rFonts w:cs="Noto Sans" w:ascii="Noto Sans" w:hAnsi="Noto Sans"/>
          <w:i w:val="false"/>
          <w:iCs w:val="false"/>
          <w:sz w:val="22"/>
          <w:szCs w:val="22"/>
        </w:rPr>
        <w:t>(2020)</w:t>
      </w:r>
      <w:r>
        <w:rPr/>
        <w:tab/>
        <w:tab/>
        <w:tab/>
        <w:tab/>
        <w:tab/>
        <w:tab/>
        <w:tab/>
        <w:tab/>
      </w:r>
      <w:r>
        <w:rPr>
          <w:rFonts w:cs="Noto Sans" w:ascii="Noto Sans" w:hAnsi="Noto Sans"/>
          <w:sz w:val="22"/>
          <w:szCs w:val="22"/>
        </w:rPr>
        <w:t>11’</w:t>
      </w:r>
    </w:p>
    <w:p>
      <w:pPr>
        <w:pStyle w:val="NoSpacing"/>
        <w:rPr>
          <w:rFonts w:ascii="Noto Sans" w:hAnsi="Noto Sans" w:cs="Noto Sans"/>
          <w:sz w:val="20"/>
          <w:szCs w:val="20"/>
        </w:rPr>
      </w:pPr>
      <w:r>
        <w:rPr>
          <w:rFonts w:cs="Noto Sans" w:ascii="Noto Sans" w:hAnsi="Noto Sans"/>
          <w:sz w:val="22"/>
          <w:szCs w:val="22"/>
        </w:rPr>
        <w:tab/>
        <w:tab/>
        <w:tab/>
        <w:tab/>
        <w:tab/>
        <w:tab/>
        <w:tab/>
        <w:tab/>
      </w:r>
      <w:r>
        <w:rPr>
          <w:rFonts w:cs="Noto Sans" w:ascii="Noto Sans" w:hAnsi="Noto Sans"/>
          <w:sz w:val="20"/>
          <w:szCs w:val="20"/>
        </w:rPr>
        <w:t>Imágenes de</w:t>
      </w:r>
      <w:r>
        <w:rPr>
          <w:rFonts w:cs="Noto Sans" w:ascii="Noto Sans" w:hAnsi="Noto Sans"/>
          <w:i/>
          <w:iCs/>
          <w:sz w:val="20"/>
          <w:szCs w:val="20"/>
        </w:rPr>
        <w:t xml:space="preserve"> Las horas negras</w:t>
      </w:r>
      <w:r>
        <w:rPr>
          <w:rFonts w:cs="Noto Sans" w:ascii="Noto Sans" w:hAnsi="Noto Sans"/>
          <w:sz w:val="20"/>
          <w:szCs w:val="20"/>
        </w:rPr>
        <w:t xml:space="preserve"> (2012) de Patricia Aridjis</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Hilda Paredes</w:t>
        <w:tab/>
      </w:r>
    </w:p>
    <w:p>
      <w:pPr>
        <w:pStyle w:val="NoSpacing"/>
        <w:rPr>
          <w:rFonts w:ascii="Noto Sans" w:hAnsi="Noto Sans" w:cs="Noto Sans"/>
          <w:sz w:val="22"/>
          <w:szCs w:val="22"/>
        </w:rPr>
      </w:pPr>
      <w:r>
        <w:rPr>
          <w:rFonts w:cs="Noto Sans" w:ascii="Noto Sans" w:hAnsi="Noto Sans"/>
          <w:i/>
          <w:iCs/>
          <w:sz w:val="22"/>
          <w:szCs w:val="22"/>
        </w:rPr>
        <w:t xml:space="preserve">Páramo de voces </w:t>
      </w:r>
      <w:r>
        <w:rPr>
          <w:rFonts w:cs="Noto Sans" w:ascii="Noto Sans" w:hAnsi="Noto Sans"/>
          <w:i w:val="false"/>
          <w:iCs w:val="false"/>
          <w:sz w:val="22"/>
          <w:szCs w:val="22"/>
        </w:rPr>
        <w:t>(2006)</w:t>
      </w:r>
      <w:r>
        <w:rPr/>
        <w:tab/>
        <w:tab/>
        <w:tab/>
        <w:tab/>
        <w:tab/>
        <w:tab/>
        <w:tab/>
        <w:tab/>
      </w:r>
      <w:r>
        <w:rPr>
          <w:rFonts w:cs="Noto Sans" w:ascii="Noto Sans" w:hAnsi="Noto Sans"/>
          <w:sz w:val="22"/>
          <w:szCs w:val="22"/>
        </w:rPr>
        <w:t>14’</w:t>
      </w:r>
    </w:p>
    <w:p>
      <w:pPr>
        <w:pStyle w:val="NoSpacing"/>
        <w:rPr>
          <w:rFonts w:ascii="Noto Sans" w:hAnsi="Noto Sans" w:cs="Noto Sans"/>
          <w:sz w:val="20"/>
          <w:szCs w:val="20"/>
        </w:rPr>
      </w:pPr>
      <w:r>
        <w:rPr>
          <w:rFonts w:cs="Noto Sans" w:ascii="Noto Sans" w:hAnsi="Noto Sans"/>
          <w:sz w:val="20"/>
          <w:szCs w:val="20"/>
        </w:rPr>
        <w:t>Fotografías de Graciela Iturbide</w:t>
      </w:r>
    </w:p>
    <w:p>
      <w:pPr>
        <w:pStyle w:val="NoSpacing"/>
        <w:rPr>
          <w:rFonts w:ascii="Noto Sans" w:hAnsi="Noto Sans" w:cs="Noto Sans"/>
          <w:sz w:val="20"/>
          <w:szCs w:val="20"/>
        </w:rPr>
      </w:pPr>
      <w:r>
        <w:rPr>
          <w:rFonts w:cs="Noto Sans" w:ascii="Noto Sans" w:hAnsi="Noto Sans"/>
          <w:sz w:val="20"/>
          <w:szCs w:val="20"/>
        </w:rPr>
        <w:t>Bernardo Arcos Mijailidis y Hugo López Arce, edición de video</w:t>
      </w:r>
    </w:p>
    <w:p>
      <w:pPr>
        <w:pStyle w:val="NoSpacing"/>
        <w:rPr>
          <w:rFonts w:ascii="Noto Sans" w:hAnsi="Noto Sans" w:cs="Noto Sans"/>
          <w:sz w:val="20"/>
          <w:szCs w:val="20"/>
        </w:rPr>
      </w:pPr>
      <w:r>
        <w:rPr>
          <w:rFonts w:cs="Noto Sans" w:ascii="Noto Sans" w:hAnsi="Noto Sans"/>
          <w:sz w:val="20"/>
          <w:szCs w:val="20"/>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b/>
          <w:bCs/>
          <w:sz w:val="22"/>
          <w:szCs w:val="22"/>
        </w:rPr>
        <w:t>Alberto Rosado</w:t>
      </w:r>
      <w:r>
        <w:rPr>
          <w:rFonts w:cs="Noto Sans" w:ascii="Noto Sans" w:hAnsi="Noto Sans"/>
          <w:sz w:val="22"/>
          <w:szCs w:val="22"/>
        </w:rPr>
        <w:t>, piano</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Compositores</w:t>
      </w:r>
    </w:p>
    <w:p>
      <w:pPr>
        <w:pStyle w:val="NoSpacing"/>
        <w:jc w:val="both"/>
        <w:rPr/>
      </w:pPr>
      <w:r>
        <w:rPr>
          <w:rFonts w:cs="Noto Sans" w:ascii="Noto Sans" w:hAnsi="Noto Sans"/>
          <w:b/>
          <w:bCs/>
          <w:sz w:val="22"/>
          <w:szCs w:val="22"/>
        </w:rPr>
        <w:t xml:space="preserve">Iñaki Estrada </w:t>
      </w:r>
      <w:r>
        <w:rPr>
          <w:rFonts w:cs="Noto Sans" w:ascii="Noto Sans" w:hAnsi="Noto Sans"/>
          <w:sz w:val="22"/>
          <w:szCs w:val="22"/>
        </w:rPr>
        <w:t>(España, 1977)</w:t>
      </w:r>
    </w:p>
    <w:p>
      <w:pPr>
        <w:pStyle w:val="NoSpacing"/>
        <w:jc w:val="both"/>
        <w:rPr>
          <w:rFonts w:ascii="Noto Sans" w:hAnsi="Noto Sans" w:cs="Noto Sans"/>
          <w:sz w:val="22"/>
          <w:szCs w:val="22"/>
        </w:rPr>
      </w:pPr>
      <w:r>
        <w:rPr>
          <w:rFonts w:cs="Noto Sans" w:ascii="Noto Sans" w:hAnsi="Noto Sans"/>
          <w:sz w:val="22"/>
          <w:szCs w:val="22"/>
        </w:rPr>
        <w:t xml:space="preserve">Nació en San Sebastián. Tras su paso por el Conservatorio de París y el IRCAM, la Real Academia de España en Roma es el trampolín desde el cual comienza una producción incesante de música que le ha llevado a colaborar con los mejores ensambles españoles e internacionales. Instituciones culturales le han encargado trabajos, entre ellas, el Auditorio Nacional de Música, la Fundación BBVA, Ernst von Siemens Music Foundation, el Gobierno Vasco, la Casa Velázquez-Ensemble l’Itinéraire y Quincena Musical de San Sebastián. Ha colaborado con Bertrand Chavarría, Alberto Rosado, Miguel Ángel Lorente, Carmen Domínguez, Clara Novakova, Eric Maria Couturier y Clara Andrada. </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Arturo Fuentes</w:t>
      </w:r>
      <w:r>
        <w:rPr>
          <w:rFonts w:cs="Noto Sans" w:ascii="Noto Sans" w:hAnsi="Noto Sans"/>
          <w:sz w:val="22"/>
          <w:szCs w:val="22"/>
        </w:rPr>
        <w:t xml:space="preserve"> (México, 1975)</w:t>
      </w:r>
    </w:p>
    <w:p>
      <w:pPr>
        <w:pStyle w:val="NoSpacing"/>
        <w:jc w:val="both"/>
        <w:rPr>
          <w:rFonts w:ascii="Noto Sans" w:hAnsi="Noto Sans" w:cs="Noto Sans"/>
          <w:sz w:val="22"/>
          <w:szCs w:val="22"/>
        </w:rPr>
      </w:pPr>
      <w:r>
        <w:rPr>
          <w:rFonts w:cs="Noto Sans" w:ascii="Noto Sans" w:hAnsi="Noto Sans"/>
          <w:sz w:val="22"/>
          <w:szCs w:val="22"/>
        </w:rPr>
        <w:t xml:space="preserve">A lo largo de las dos últimas décadas, Fuentes, ciudadano austriaco nacido en México, ha creado un catálogo muy diverso de más de cien obras. Compositor y artista multidisciplinario, ha incursionado en la dirección escénica, el cine documental y la obra pictórica. Radicado entre México y Austria, ha desarrollado un lenguaje personal </w:t>
      </w:r>
      <w:r>
        <w:rPr>
          <w:rFonts w:cs="Noto Sans" w:ascii="Noto Sans" w:hAnsi="Noto Sans"/>
          <w:sz w:val="22"/>
          <w:szCs w:val="22"/>
        </w:rPr>
        <w:t xml:space="preserve">que se </w:t>
      </w:r>
      <w:r>
        <w:rPr>
          <w:rFonts w:cs="Noto Sans" w:ascii="Noto Sans" w:hAnsi="Noto Sans"/>
          <w:sz w:val="22"/>
          <w:szCs w:val="22"/>
        </w:rPr>
        <w:t>caracteriza por la exploración del timbre, el silencio, la poética del sonido e imagen y sus posibilidades escénicas.</w:t>
      </w:r>
    </w:p>
    <w:p>
      <w:pPr>
        <w:pStyle w:val="NoSpacing"/>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Georgina Derbez</w:t>
      </w:r>
      <w:r>
        <w:rPr>
          <w:rFonts w:cs="Noto Sans" w:ascii="Noto Sans" w:hAnsi="Noto Sans"/>
          <w:sz w:val="22"/>
          <w:szCs w:val="22"/>
        </w:rPr>
        <w:t xml:space="preserve"> (México, 1968)</w:t>
      </w:r>
    </w:p>
    <w:p>
      <w:pPr>
        <w:pStyle w:val="NoSpacing"/>
        <w:jc w:val="both"/>
        <w:rPr>
          <w:rFonts w:ascii="Noto Sans" w:hAnsi="Noto Sans" w:cs="Noto Sans"/>
        </w:rPr>
      </w:pPr>
      <w:r>
        <w:rPr>
          <w:rFonts w:cs="Noto Sans" w:ascii="Noto Sans" w:hAnsi="Noto Sans"/>
          <w:sz w:val="22"/>
          <w:szCs w:val="22"/>
        </w:rPr>
        <w:t>Una de las voces más potentes de su generación, fue escogida por el Utopia Ensamble de Francia para representar a México en un concierto dedicado a la música contemporánea de dicho país. Algunas de sus obras más representativas son su concierto para clarinete y orquesta </w:t>
      </w:r>
      <w:r>
        <w:rPr>
          <w:rFonts w:cs="Noto Sans" w:ascii="Noto Sans" w:hAnsi="Noto Sans"/>
          <w:i/>
          <w:iCs/>
          <w:sz w:val="22"/>
          <w:szCs w:val="22"/>
        </w:rPr>
        <w:t>Ascenso al Celeste</w:t>
      </w:r>
      <w:r>
        <w:rPr>
          <w:rFonts w:cs="Noto Sans" w:ascii="Noto Sans" w:hAnsi="Noto Sans"/>
          <w:sz w:val="22"/>
          <w:szCs w:val="22"/>
        </w:rPr>
        <w:t> (2018), su Doble concierto para flauta, piano y orquesta (2012) y su ópera de cámara </w:t>
      </w:r>
      <w:r>
        <w:rPr>
          <w:rFonts w:cs="Noto Sans" w:ascii="Noto Sans" w:hAnsi="Noto Sans"/>
          <w:i/>
          <w:iCs/>
          <w:sz w:val="22"/>
          <w:szCs w:val="22"/>
        </w:rPr>
        <w:t>La Creciente</w:t>
      </w:r>
      <w:r>
        <w:rPr>
          <w:rFonts w:cs="Noto Sans" w:ascii="Noto Sans" w:hAnsi="Noto Sans"/>
          <w:sz w:val="22"/>
          <w:szCs w:val="22"/>
        </w:rPr>
        <w:t> (2015). Su catálogo comprende obras para solos, dúos, tríos, cuarteto de cuerdas, ensambles de cámara y orquesta sinfónica. Sus obras han sido interpretadas en América, Europa y Asia. Becaria del Sistema Nacional de Creadores de Arte por cuarta ocasión, funge como maestra de Composición, Análisis y Orquestación en la Escuela Superior de Música del INBAL. Su educación musical la realizó con Martha García Renart y Ana María Tradatti en piano; y Arturo Márquez y Ana Lara en composición, complementando con múltiples cursos europeos con maestros como Toshio Hosokawa y Klaus Huber, entre otros. </w:t>
      </w:r>
    </w:p>
    <w:p>
      <w:pPr>
        <w:pStyle w:val="NoSpacing"/>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Hilda Paredes</w:t>
      </w:r>
      <w:r>
        <w:rPr>
          <w:rFonts w:cs="Noto Sans" w:ascii="Noto Sans" w:hAnsi="Noto Sans"/>
          <w:sz w:val="22"/>
          <w:szCs w:val="22"/>
        </w:rPr>
        <w:t xml:space="preserve"> (México, 1957)</w:t>
      </w:r>
    </w:p>
    <w:p>
      <w:pPr>
        <w:pStyle w:val="NoSpacing"/>
        <w:jc w:val="both"/>
        <w:rPr>
          <w:rFonts w:ascii="Noto Sans" w:hAnsi="Noto Sans" w:cs="Noto Sans"/>
          <w:sz w:val="22"/>
          <w:szCs w:val="22"/>
        </w:rPr>
      </w:pPr>
      <w:r>
        <w:rPr>
          <w:rFonts w:cs="Noto Sans" w:ascii="Noto Sans" w:hAnsi="Noto Sans"/>
          <w:sz w:val="22"/>
          <w:szCs w:val="22"/>
        </w:rPr>
        <w:t>Su obra se caracteriza por una exploración profunda del timbre, el ritmo y la relación entre instrumentos acústicos, electrónica y voz, integrando con frecuencia referencias culturales y literarias. Realizó estudios de Composición en México y posteriormente en el Guildhall School of Music and Drama en Londres, ciudad donde ha desarrollado gran parte de su carrera. Su música ha sido interpretada por destacados ensambles y orquestas internacionales y presentada en festivales y foros especializados en música contemporánea. El catálogo de Paredes incluye obras de cámara, orquestales, vocales, electroacústicas y óperas, en las que combina investigación sonora con un fuerte sentido expresivo. Su trabajo ha contribuido de manera significativa a la proyección de la creación musical mexicana en el ámbito internacional.</w:t>
      </w:r>
    </w:p>
    <w:p>
      <w:pPr>
        <w:pStyle w:val="NoSpacing"/>
        <w:rPr>
          <w:rFonts w:ascii="Noto Sans" w:hAnsi="Noto Sans" w:eastAsia="Noto Sans" w:cs="Noto Sans"/>
          <w:sz w:val="22"/>
          <w:szCs w:val="22"/>
        </w:rPr>
      </w:pPr>
      <w:r>
        <w:rPr>
          <w:rFonts w:eastAsia="Noto Sans" w:cs="Noto Sans" w:ascii="Noto Sans" w:hAnsi="Noto Sans"/>
          <w:sz w:val="22"/>
          <w:szCs w:val="22"/>
        </w:rPr>
      </w:r>
    </w:p>
    <w:p>
      <w:pPr>
        <w:pStyle w:val="NoSpacing"/>
        <w:jc w:val="both"/>
        <w:rPr/>
      </w:pPr>
      <w:r>
        <w:rPr>
          <w:rFonts w:eastAsia="Noto Sans" w:cs="Noto Sans" w:ascii="Noto Sans" w:hAnsi="Noto Sans"/>
          <w:b/>
          <w:bCs/>
          <w:sz w:val="22"/>
          <w:szCs w:val="22"/>
        </w:rPr>
        <w:t>Raquel García-Tomás</w:t>
      </w:r>
      <w:r>
        <w:rPr>
          <w:rFonts w:eastAsia="Noto Sans" w:cs="Noto Sans" w:ascii="Noto Sans" w:hAnsi="Noto Sans"/>
          <w:sz w:val="22"/>
          <w:szCs w:val="22"/>
        </w:rPr>
        <w:t xml:space="preserve"> (España, 1984) </w:t>
      </w:r>
    </w:p>
    <w:p>
      <w:pPr>
        <w:pStyle w:val="NoSpacing"/>
        <w:jc w:val="both"/>
        <w:rPr/>
      </w:pPr>
      <w:r>
        <w:rPr>
          <w:rFonts w:eastAsia="Noto Sans" w:cs="Noto Sans" w:ascii="Noto Sans" w:hAnsi="Noto Sans"/>
          <w:sz w:val="22"/>
          <w:szCs w:val="22"/>
        </w:rPr>
        <w:t>Compositora especializada en creación interdisciplinar, doctorada en el Royal College of Music de Londres. En 2020 fue galardonada con el Premio Nacional de Música. En 2017 recibió el Premio El Ojo Crítico de Música Clásica de RTVE. Recientemente ha recibido el Premi Nacional de Cultura 2024 de la Generalitat de Catalunya. Su música ha sido interpretada en salas de España, Reino Unido, Luxemburgo, Alemania, Suecia, República Checa y Hungría. Su música ha estado presente en los festivales Huddersfield Contemporary Music, Kunstfest Weimar y de Lucerna, y ha colaborado con agrupaciones como la London Sinfonietta, la Oslo Sinfonietta y el Phace Ensemble, entre otros. En la temporada 2024-2025, fue compositora residente de la Real Filharmonía de Galicia.</w:t>
      </w:r>
    </w:p>
    <w:p>
      <w:pPr>
        <w:pStyle w:val="NoSpacing"/>
        <w:jc w:val="both"/>
        <w:rPr>
          <w:rFonts w:ascii="Noto Sans" w:hAnsi="Noto Sans" w:eastAsia="Noto Sans" w:cs="Noto Sans"/>
          <w:sz w:val="22"/>
          <w:szCs w:val="22"/>
        </w:rPr>
      </w:pPr>
      <w:r>
        <w:rPr>
          <w:rFonts w:eastAsia="Noto Sans" w:cs="Noto Sans" w:ascii="Noto Sans" w:hAnsi="Noto Sans"/>
          <w:sz w:val="22"/>
          <w:szCs w:val="22"/>
        </w:rPr>
      </w:r>
    </w:p>
    <w:p>
      <w:pPr>
        <w:pStyle w:val="NoSpacing"/>
        <w:ind w:left="708" w:hanging="0"/>
        <w:jc w:val="both"/>
        <w:rPr>
          <w:rFonts w:ascii="Noto Sans" w:hAnsi="Noto Sans" w:eastAsia="Noto Sans" w:cs="Noto Sans"/>
          <w:color w:val="000000" w:themeColor="text1" w:themeShade="ff" w:themeTint="ff"/>
          <w:sz w:val="22"/>
          <w:szCs w:val="22"/>
          <w:lang w:val="es"/>
        </w:rPr>
      </w:pPr>
      <w:r>
        <w:rPr>
          <w:rFonts w:eastAsia="Noto Sans" w:cs="Noto Sans" w:ascii="Noto Sans" w:hAnsi="Noto Sans"/>
          <w:color w:val="000000" w:themeColor="text1" w:themeShade="ff" w:themeTint="ff"/>
          <w:sz w:val="22"/>
          <w:szCs w:val="22"/>
          <w:lang w:val="es"/>
        </w:rPr>
        <w:t>El tránsito del siglo XX al XXI ha marcado un hito decisivo en la evolución de la música contemporánea: la consolidación de la música mixta como un ecosistema creativo donde el instrumento acústico, la tecnología electrónica y el lenguaje audiovisual coexisten en constante simbiosis. En este territorio híbrido, la literatura para piano y electrónica ha experimentado un desarrollo extraordinario tanto en México como en España. Este programa surge precisamente de este diálogo transdisciplinar e intercontinental, reuniendo obras nacidas en las dos primeras décadas del presente siglo que expanden la naturaleza física del piano y lo convierten en un lienzo interactivo de luz, sonido e imagen.</w:t>
      </w:r>
    </w:p>
    <w:p>
      <w:pPr>
        <w:pStyle w:val="NoSpacing"/>
        <w:ind w:left="708" w:hanging="0"/>
        <w:jc w:val="both"/>
        <w:rPr>
          <w:rFonts w:ascii="Noto Sans" w:hAnsi="Noto Sans" w:eastAsia="Noto Sans" w:cs="Noto Sans"/>
          <w:color w:val="000000" w:themeColor="text1" w:themeShade="ff" w:themeTint="ff"/>
          <w:sz w:val="22"/>
          <w:szCs w:val="22"/>
          <w:lang w:val="es"/>
        </w:rPr>
      </w:pPr>
      <w:r>
        <w:rPr>
          <w:rFonts w:eastAsia="Noto Sans" w:cs="Noto Sans" w:ascii="Noto Sans" w:hAnsi="Noto Sans"/>
          <w:color w:val="000000" w:themeColor="text1" w:themeShade="ff" w:themeTint="ff"/>
          <w:sz w:val="22"/>
          <w:szCs w:val="22"/>
          <w:lang w:val="es"/>
        </w:rPr>
        <w:t xml:space="preserve"> </w:t>
      </w:r>
    </w:p>
    <w:p>
      <w:pPr>
        <w:pStyle w:val="NoSpacing"/>
        <w:ind w:left="708" w:hanging="0"/>
        <w:jc w:val="both"/>
        <w:rPr>
          <w:rFonts w:ascii="Noto Sans" w:hAnsi="Noto Sans" w:eastAsia="Noto Sans" w:cs="Noto Sans"/>
          <w:color w:val="000000" w:themeColor="text1" w:themeShade="ff" w:themeTint="ff"/>
          <w:sz w:val="22"/>
          <w:szCs w:val="22"/>
          <w:lang w:val="es-ES"/>
        </w:rPr>
      </w:pPr>
      <w:r>
        <w:rPr>
          <w:rFonts w:eastAsia="Noto Sans" w:cs="Noto Sans" w:ascii="Noto Sans" w:hAnsi="Noto Sans"/>
          <w:color w:val="000000" w:themeColor="text1" w:themeShade="ff" w:themeTint="ff"/>
          <w:sz w:val="22"/>
          <w:szCs w:val="22"/>
          <w:lang w:val="es-ES"/>
        </w:rPr>
        <w:t xml:space="preserve">El itinerario sonoro se inicia con </w:t>
      </w:r>
      <w:r>
        <w:rPr>
          <w:rFonts w:eastAsia="Noto Sans" w:cs="Noto Sans" w:ascii="Noto Sans" w:hAnsi="Noto Sans"/>
          <w:i/>
          <w:iCs/>
          <w:color w:val="000000" w:themeColor="text1" w:themeShade="ff" w:themeTint="ff"/>
          <w:sz w:val="22"/>
          <w:szCs w:val="22"/>
          <w:lang w:val="es-ES"/>
        </w:rPr>
        <w:t>I+D</w:t>
      </w:r>
      <w:r>
        <w:rPr>
          <w:rFonts w:eastAsia="Noto Sans" w:cs="Noto Sans" w:ascii="Noto Sans" w:hAnsi="Noto Sans"/>
          <w:color w:val="000000" w:themeColor="text1" w:themeShade="ff" w:themeTint="ff"/>
          <w:sz w:val="22"/>
          <w:szCs w:val="22"/>
          <w:lang w:val="es-ES"/>
        </w:rPr>
        <w:t xml:space="preserve"> (2010) del compositor donostiarra </w:t>
      </w:r>
      <w:r>
        <w:rPr>
          <w:rFonts w:eastAsia="Noto Sans" w:cs="Noto Sans" w:ascii="Noto Sans" w:hAnsi="Noto Sans"/>
          <w:b w:val="false"/>
          <w:bCs w:val="false"/>
          <w:color w:val="000000" w:themeColor="text1" w:themeShade="ff" w:themeTint="ff"/>
          <w:sz w:val="22"/>
          <w:szCs w:val="22"/>
          <w:lang w:val="es-ES"/>
        </w:rPr>
        <w:t>Iñaki Estrada,</w:t>
      </w:r>
      <w:r>
        <w:rPr>
          <w:rFonts w:eastAsia="Noto Sans" w:cs="Noto Sans" w:ascii="Noto Sans" w:hAnsi="Noto Sans"/>
          <w:color w:val="000000" w:themeColor="text1" w:themeShade="ff" w:themeTint="ff"/>
          <w:sz w:val="22"/>
          <w:szCs w:val="22"/>
          <w:lang w:val="es-ES"/>
        </w:rPr>
        <w:t xml:space="preserve"> una investigación donde el piano procesado en tiempo real entabla un diálogo con la propuesta visual de </w:t>
      </w:r>
      <w:r>
        <w:rPr>
          <w:rFonts w:eastAsia="Noto Sans" w:cs="Noto Sans" w:ascii="Noto Sans" w:hAnsi="Noto Sans"/>
          <w:b w:val="false"/>
          <w:bCs w:val="false"/>
          <w:color w:val="000000" w:themeColor="text1" w:themeShade="ff" w:themeTint="ff"/>
          <w:sz w:val="22"/>
          <w:szCs w:val="22"/>
          <w:lang w:val="es-ES"/>
        </w:rPr>
        <w:t>Paloma Pájaro,</w:t>
      </w:r>
      <w:r>
        <w:rPr>
          <w:rFonts w:eastAsia="Noto Sans" w:cs="Noto Sans" w:ascii="Noto Sans" w:hAnsi="Noto Sans"/>
          <w:color w:val="000000" w:themeColor="text1" w:themeShade="ff" w:themeTint="ff"/>
          <w:sz w:val="22"/>
          <w:szCs w:val="22"/>
          <w:lang w:val="es-ES"/>
        </w:rPr>
        <w:t xml:space="preserve"> indagando en las fronteras de la materia sonora y su traducción plástica. La compositora catalana </w:t>
      </w:r>
      <w:r>
        <w:rPr>
          <w:rFonts w:eastAsia="Noto Sans" w:cs="Noto Sans" w:ascii="Noto Sans" w:hAnsi="Noto Sans"/>
          <w:b w:val="false"/>
          <w:bCs w:val="false"/>
          <w:color w:val="000000" w:themeColor="text1" w:themeShade="ff" w:themeTint="ff"/>
          <w:sz w:val="22"/>
          <w:szCs w:val="22"/>
          <w:lang w:val="es-ES"/>
        </w:rPr>
        <w:t>Raquel García-Tomás</w:t>
      </w:r>
      <w:r>
        <w:rPr>
          <w:rFonts w:eastAsia="Noto Sans" w:cs="Noto Sans" w:ascii="Noto Sans" w:hAnsi="Noto Sans"/>
          <w:color w:val="000000" w:themeColor="text1" w:themeShade="ff" w:themeTint="ff"/>
          <w:sz w:val="22"/>
          <w:szCs w:val="22"/>
          <w:lang w:val="es-ES"/>
        </w:rPr>
        <w:t xml:space="preserve"> aporta en </w:t>
      </w:r>
      <w:r>
        <w:rPr>
          <w:rFonts w:eastAsia="Noto Sans" w:cs="Noto Sans" w:ascii="Noto Sans" w:hAnsi="Noto Sans"/>
          <w:i/>
          <w:iCs/>
          <w:color w:val="000000" w:themeColor="text1" w:themeShade="ff" w:themeTint="ff"/>
          <w:sz w:val="22"/>
          <w:szCs w:val="22"/>
          <w:lang w:val="es-ES"/>
        </w:rPr>
        <w:t>Tangible</w:t>
      </w:r>
      <w:r>
        <w:rPr>
          <w:rFonts w:eastAsia="Noto Sans" w:cs="Noto Sans" w:ascii="Noto Sans" w:hAnsi="Noto Sans"/>
          <w:color w:val="000000" w:themeColor="text1" w:themeShade="ff" w:themeTint="ff"/>
          <w:sz w:val="22"/>
          <w:szCs w:val="22"/>
          <w:lang w:val="es-ES"/>
        </w:rPr>
        <w:t xml:space="preserve"> (2012) una mirada profundamente interdisciplinar —característica central de su catálogo—, donde el piano y la síntesis electroacústica convergen con el imaginario visual de </w:t>
      </w:r>
      <w:r>
        <w:rPr>
          <w:rFonts w:eastAsia="Noto Sans" w:cs="Noto Sans" w:ascii="Noto Sans" w:hAnsi="Noto Sans"/>
          <w:b w:val="false"/>
          <w:bCs w:val="false"/>
          <w:color w:val="000000" w:themeColor="text1" w:themeShade="ff" w:themeTint="ff"/>
          <w:sz w:val="22"/>
          <w:szCs w:val="22"/>
          <w:lang w:val="es-ES"/>
        </w:rPr>
        <w:t>Pere Ginard</w:t>
      </w:r>
      <w:r>
        <w:rPr>
          <w:rFonts w:eastAsia="Noto Sans" w:cs="Noto Sans" w:ascii="Noto Sans" w:hAnsi="Noto Sans"/>
          <w:color w:val="000000" w:themeColor="text1" w:themeShade="ff" w:themeTint="ff"/>
          <w:sz w:val="22"/>
          <w:szCs w:val="22"/>
          <w:lang w:val="es-ES"/>
        </w:rPr>
        <w:t xml:space="preserve">, explorando la corporeidad del sonido y evidenciando la fusión casi natural de todos los elementos.  Le sigue </w:t>
      </w:r>
      <w:r>
        <w:rPr>
          <w:rFonts w:eastAsia="Noto Sans" w:cs="Noto Sans" w:ascii="Noto Sans" w:hAnsi="Noto Sans"/>
          <w:i/>
          <w:iCs/>
          <w:color w:val="000000" w:themeColor="text1" w:themeShade="ff" w:themeTint="ff"/>
          <w:sz w:val="22"/>
          <w:szCs w:val="22"/>
          <w:lang w:val="es-ES"/>
        </w:rPr>
        <w:t>Disparate volante</w:t>
      </w:r>
      <w:r>
        <w:rPr>
          <w:rFonts w:eastAsia="Noto Sans" w:cs="Noto Sans" w:ascii="Noto Sans" w:hAnsi="Noto Sans"/>
          <w:color w:val="000000" w:themeColor="text1" w:themeShade="ff" w:themeTint="ff"/>
          <w:sz w:val="22"/>
          <w:szCs w:val="22"/>
          <w:lang w:val="es-ES"/>
        </w:rPr>
        <w:t xml:space="preserve"> (2009) del compositor mexicano </w:t>
      </w:r>
      <w:r>
        <w:rPr>
          <w:rFonts w:eastAsia="Noto Sans" w:cs="Noto Sans" w:ascii="Noto Sans" w:hAnsi="Noto Sans"/>
          <w:b w:val="false"/>
          <w:bCs w:val="false"/>
          <w:color w:val="000000" w:themeColor="text1" w:themeShade="ff" w:themeTint="ff"/>
          <w:sz w:val="22"/>
          <w:szCs w:val="22"/>
          <w:lang w:val="es-ES"/>
        </w:rPr>
        <w:t xml:space="preserve">Arturo Fuentes, </w:t>
      </w:r>
      <w:r>
        <w:rPr>
          <w:rFonts w:eastAsia="Noto Sans" w:cs="Noto Sans" w:ascii="Noto Sans" w:hAnsi="Noto Sans"/>
          <w:color w:val="000000" w:themeColor="text1" w:themeShade="ff" w:themeTint="ff"/>
          <w:sz w:val="22"/>
          <w:szCs w:val="22"/>
          <w:lang w:val="es-ES"/>
        </w:rPr>
        <w:t xml:space="preserve">obra que toma como catalizador la energía gestual del pianista para proyectarla en un universo electroacústico de alta densidad tímbrica, entrelazado con la creación en vídeo de </w:t>
      </w:r>
      <w:r>
        <w:rPr>
          <w:rFonts w:eastAsia="Noto Sans" w:cs="Noto Sans" w:ascii="Noto Sans" w:hAnsi="Noto Sans"/>
          <w:b w:val="false"/>
          <w:bCs w:val="false"/>
          <w:color w:val="000000" w:themeColor="text1" w:themeShade="ff" w:themeTint="ff"/>
          <w:sz w:val="22"/>
          <w:szCs w:val="22"/>
          <w:lang w:val="es-ES"/>
        </w:rPr>
        <w:t>Emmanuel Flores.</w:t>
      </w:r>
      <w:r>
        <w:rPr>
          <w:rFonts w:eastAsia="Noto Sans" w:cs="Noto Sans" w:ascii="Noto Sans" w:hAnsi="Noto Sans"/>
          <w:color w:val="000000" w:themeColor="text1" w:themeShade="ff" w:themeTint="ff"/>
          <w:sz w:val="22"/>
          <w:szCs w:val="22"/>
          <w:lang w:val="es-ES"/>
        </w:rPr>
        <w:t xml:space="preserve"> El universo creativo de </w:t>
      </w:r>
      <w:r>
        <w:rPr>
          <w:rFonts w:eastAsia="Noto Sans" w:cs="Noto Sans" w:ascii="Noto Sans" w:hAnsi="Noto Sans"/>
          <w:b w:val="false"/>
          <w:bCs w:val="false"/>
          <w:color w:val="000000" w:themeColor="text1" w:themeShade="ff" w:themeTint="ff"/>
          <w:sz w:val="22"/>
          <w:szCs w:val="22"/>
          <w:lang w:val="es-ES"/>
        </w:rPr>
        <w:t xml:space="preserve">Georgina Derbez </w:t>
      </w:r>
      <w:r>
        <w:rPr>
          <w:rFonts w:eastAsia="Noto Sans" w:cs="Noto Sans" w:ascii="Noto Sans" w:hAnsi="Noto Sans"/>
          <w:color w:val="000000" w:themeColor="text1" w:themeShade="ff" w:themeTint="ff"/>
          <w:sz w:val="22"/>
          <w:szCs w:val="22"/>
          <w:lang w:val="es-ES"/>
        </w:rPr>
        <w:t xml:space="preserve">se despliega a través de dos piezas complementarias que abordan la transformación del espacio y la memoria. </w:t>
      </w:r>
      <w:r>
        <w:rPr>
          <w:rFonts w:eastAsia="Noto Sans" w:cs="Noto Sans" w:ascii="Noto Sans" w:hAnsi="Noto Sans"/>
          <w:i/>
          <w:iCs/>
          <w:color w:val="000000" w:themeColor="text1" w:themeShade="ff" w:themeTint="ff"/>
          <w:sz w:val="22"/>
          <w:szCs w:val="22"/>
          <w:lang w:val="es-ES"/>
        </w:rPr>
        <w:t>Expandable Self</w:t>
      </w:r>
      <w:r>
        <w:rPr>
          <w:rFonts w:eastAsia="Noto Sans" w:cs="Noto Sans" w:ascii="Noto Sans" w:hAnsi="Noto Sans"/>
          <w:color w:val="000000" w:themeColor="text1" w:themeShade="ff" w:themeTint="ff"/>
          <w:sz w:val="22"/>
          <w:szCs w:val="22"/>
          <w:lang w:val="es-ES"/>
        </w:rPr>
        <w:t xml:space="preserve"> (2021) es el vértice musical de un proyecto colaborativo tridimensional que unió la música de Georgina Derbez, la poesía de Aurelia Cortés Peyron y las artes visuales de Sandra Pani. La obra toma como punto de partida estético una serie de dibujos en gran formato de Pani, donde el cuerpo humano se desdibuja, se fragmenta y se expande en busca de su propia identidad. Por su parte, </w:t>
      </w:r>
      <w:r>
        <w:rPr>
          <w:rFonts w:eastAsia="Noto Sans" w:cs="Noto Sans" w:ascii="Noto Sans" w:hAnsi="Noto Sans"/>
          <w:i/>
          <w:iCs/>
          <w:color w:val="000000" w:themeColor="text1" w:themeShade="ff" w:themeTint="ff"/>
          <w:sz w:val="22"/>
          <w:szCs w:val="22"/>
          <w:lang w:val="es-ES"/>
        </w:rPr>
        <w:t xml:space="preserve">Las pupilas de la luna </w:t>
      </w:r>
      <w:r>
        <w:rPr>
          <w:rFonts w:eastAsia="Noto Sans" w:cs="Noto Sans" w:ascii="Noto Sans" w:hAnsi="Noto Sans"/>
          <w:color w:val="000000" w:themeColor="text1" w:themeShade="ff" w:themeTint="ff"/>
          <w:sz w:val="22"/>
          <w:szCs w:val="22"/>
          <w:lang w:val="es-ES"/>
        </w:rPr>
        <w:t xml:space="preserve">(2020) integra la electrónica con la poética visual de la serie fotográfica </w:t>
      </w:r>
      <w:r>
        <w:rPr>
          <w:rFonts w:eastAsia="Noto Sans" w:cs="Noto Sans" w:ascii="Noto Sans" w:hAnsi="Noto Sans"/>
          <w:i/>
          <w:iCs/>
          <w:color w:val="000000" w:themeColor="text1" w:themeShade="ff" w:themeTint="ff"/>
          <w:sz w:val="22"/>
          <w:szCs w:val="22"/>
          <w:lang w:val="es-ES"/>
        </w:rPr>
        <w:t>Las Horas Negras</w:t>
      </w:r>
      <w:r>
        <w:rPr>
          <w:rFonts w:eastAsia="Noto Sans" w:cs="Noto Sans" w:ascii="Noto Sans" w:hAnsi="Noto Sans"/>
          <w:color w:val="000000" w:themeColor="text1" w:themeShade="ff" w:themeTint="ff"/>
          <w:sz w:val="22"/>
          <w:szCs w:val="22"/>
          <w:lang w:val="es-ES"/>
        </w:rPr>
        <w:t xml:space="preserve"> de </w:t>
      </w:r>
      <w:r>
        <w:rPr>
          <w:rFonts w:eastAsia="Noto Sans" w:cs="Noto Sans" w:ascii="Noto Sans" w:hAnsi="Noto Sans"/>
          <w:b w:val="false"/>
          <w:bCs w:val="false"/>
          <w:color w:val="000000" w:themeColor="text1" w:themeShade="ff" w:themeTint="ff"/>
          <w:sz w:val="22"/>
          <w:szCs w:val="22"/>
          <w:lang w:val="es-ES"/>
        </w:rPr>
        <w:t>Patricia Aridjis,</w:t>
      </w:r>
      <w:r>
        <w:rPr>
          <w:rFonts w:eastAsia="Noto Sans" w:cs="Noto Sans" w:ascii="Noto Sans" w:hAnsi="Noto Sans"/>
          <w:color w:val="000000" w:themeColor="text1" w:themeShade="ff" w:themeTint="ff"/>
          <w:sz w:val="22"/>
          <w:szCs w:val="22"/>
          <w:lang w:val="es-ES"/>
        </w:rPr>
        <w:t xml:space="preserve"> tejiendo un espacio meditativo sobre la mirada, la ausencia y el claroscuro.</w:t>
      </w:r>
    </w:p>
    <w:p>
      <w:pPr>
        <w:pStyle w:val="NoSpacing"/>
        <w:ind w:left="708" w:hanging="0"/>
        <w:jc w:val="both"/>
        <w:rPr>
          <w:rFonts w:ascii="Noto Sans" w:hAnsi="Noto Sans" w:eastAsia="Noto Sans" w:cs="Noto Sans"/>
          <w:color w:val="000000" w:themeColor="text1" w:themeShade="ff" w:themeTint="ff"/>
          <w:sz w:val="22"/>
          <w:szCs w:val="22"/>
          <w:lang w:val="es"/>
        </w:rPr>
      </w:pPr>
      <w:r>
        <w:rPr>
          <w:rFonts w:eastAsia="Noto Sans" w:cs="Noto Sans" w:ascii="Noto Sans" w:hAnsi="Noto Sans"/>
          <w:color w:val="000000" w:themeColor="text1" w:themeShade="ff" w:themeTint="ff"/>
          <w:sz w:val="22"/>
          <w:szCs w:val="22"/>
          <w:lang w:val="es"/>
        </w:rPr>
        <w:t xml:space="preserve"> </w:t>
      </w:r>
    </w:p>
    <w:p>
      <w:pPr>
        <w:pStyle w:val="NoSpacing"/>
        <w:ind w:left="708" w:hanging="0"/>
        <w:jc w:val="both"/>
        <w:rPr>
          <w:rFonts w:ascii="Noto Sans" w:hAnsi="Noto Sans" w:eastAsia="Noto Sans" w:cs="Noto Sans"/>
          <w:color w:val="000000" w:themeColor="text1" w:themeShade="ff" w:themeTint="ff"/>
          <w:sz w:val="22"/>
          <w:szCs w:val="22"/>
          <w:lang w:val="es"/>
        </w:rPr>
      </w:pPr>
      <w:r>
        <w:rPr>
          <w:rFonts w:eastAsia="Noto Sans" w:cs="Noto Sans" w:ascii="Noto Sans" w:hAnsi="Noto Sans"/>
          <w:color w:val="000000" w:themeColor="text1" w:themeShade="ff" w:themeTint="ff"/>
          <w:sz w:val="22"/>
          <w:szCs w:val="22"/>
          <w:lang w:val="es"/>
        </w:rPr>
        <w:t xml:space="preserve">Cierra la velada </w:t>
      </w:r>
      <w:r>
        <w:rPr>
          <w:rFonts w:eastAsia="Noto Sans" w:cs="Noto Sans" w:ascii="Noto Sans" w:hAnsi="Noto Sans"/>
          <w:i/>
          <w:iCs/>
          <w:color w:val="000000" w:themeColor="text1" w:themeShade="ff" w:themeTint="ff"/>
          <w:sz w:val="22"/>
          <w:szCs w:val="22"/>
          <w:lang w:val="es"/>
        </w:rPr>
        <w:t>Páramo de voces</w:t>
      </w:r>
      <w:r>
        <w:rPr>
          <w:rFonts w:eastAsia="Noto Sans" w:cs="Noto Sans" w:ascii="Noto Sans" w:hAnsi="Noto Sans"/>
          <w:color w:val="000000" w:themeColor="text1" w:themeShade="ff" w:themeTint="ff"/>
          <w:sz w:val="22"/>
          <w:szCs w:val="22"/>
          <w:lang w:val="es"/>
        </w:rPr>
        <w:t xml:space="preserve"> (2006), de </w:t>
      </w:r>
      <w:r>
        <w:rPr>
          <w:rFonts w:eastAsia="Noto Sans" w:cs="Noto Sans" w:ascii="Noto Sans" w:hAnsi="Noto Sans"/>
          <w:b w:val="false"/>
          <w:bCs w:val="false"/>
          <w:color w:val="000000" w:themeColor="text1" w:themeShade="ff" w:themeTint="ff"/>
          <w:sz w:val="22"/>
          <w:szCs w:val="22"/>
          <w:lang w:val="es"/>
        </w:rPr>
        <w:t>Hilda Paredes,</w:t>
      </w:r>
      <w:r>
        <w:rPr>
          <w:rFonts w:eastAsia="Noto Sans" w:cs="Noto Sans" w:ascii="Noto Sans" w:hAnsi="Noto Sans"/>
          <w:color w:val="000000" w:themeColor="text1" w:themeShade="ff" w:themeTint="ff"/>
          <w:sz w:val="22"/>
          <w:szCs w:val="22"/>
          <w:lang w:val="es"/>
        </w:rPr>
        <w:t xml:space="preserve"> una de las voces mexicanas de mayor proyección internacional. Inspirada en el universo literario de Juan Rulfo y enriquecida por el diálogo con la mirada fotográfica de </w:t>
      </w:r>
      <w:r>
        <w:rPr>
          <w:rFonts w:eastAsia="Noto Sans" w:cs="Noto Sans" w:ascii="Noto Sans" w:hAnsi="Noto Sans"/>
          <w:b w:val="false"/>
          <w:bCs w:val="false"/>
          <w:color w:val="000000" w:themeColor="text1" w:themeShade="ff" w:themeTint="ff"/>
          <w:sz w:val="22"/>
          <w:szCs w:val="22"/>
          <w:lang w:val="es"/>
        </w:rPr>
        <w:t xml:space="preserve">Graciela Iturbide (con edición en vídeo de Bernardo Arcos Mijailidis y Hugo López Arce), </w:t>
      </w:r>
      <w:r>
        <w:rPr>
          <w:rFonts w:eastAsia="Noto Sans" w:cs="Noto Sans" w:ascii="Noto Sans" w:hAnsi="Noto Sans"/>
          <w:color w:val="000000" w:themeColor="text1" w:themeShade="ff" w:themeTint="ff"/>
          <w:sz w:val="22"/>
          <w:szCs w:val="22"/>
          <w:lang w:val="es"/>
        </w:rPr>
        <w:t>la obra constituye un retablo sonoro de resonancias suspendidas y ecos polifónicos donde la memoria acústica del piano se diluye en el espacio electrónico.</w:t>
      </w:r>
    </w:p>
    <w:p>
      <w:pPr>
        <w:pStyle w:val="NoSpacing"/>
        <w:ind w:left="708" w:hanging="0"/>
        <w:jc w:val="both"/>
        <w:rPr>
          <w:rFonts w:ascii="Noto Sans" w:hAnsi="Noto Sans" w:eastAsia="Noto Sans" w:cs="Noto Sans"/>
          <w:color w:val="000000" w:themeColor="text1" w:themeShade="ff" w:themeTint="ff"/>
          <w:sz w:val="22"/>
          <w:szCs w:val="22"/>
          <w:lang w:val="es"/>
        </w:rPr>
      </w:pPr>
      <w:r>
        <w:rPr>
          <w:rFonts w:eastAsia="Noto Sans" w:cs="Noto Sans" w:ascii="Noto Sans" w:hAnsi="Noto Sans"/>
          <w:color w:val="000000" w:themeColor="text1" w:themeShade="ff" w:themeTint="ff"/>
          <w:sz w:val="22"/>
          <w:szCs w:val="22"/>
          <w:lang w:val="es"/>
        </w:rPr>
        <w:t xml:space="preserve"> </w:t>
      </w:r>
    </w:p>
    <w:p>
      <w:pPr>
        <w:pStyle w:val="NoSpacing"/>
        <w:ind w:left="708" w:hanging="0"/>
        <w:jc w:val="both"/>
        <w:rPr>
          <w:rFonts w:ascii="Noto Sans" w:hAnsi="Noto Sans" w:eastAsia="Noto Sans" w:cs="Noto Sans"/>
          <w:color w:val="000000" w:themeColor="text1" w:themeShade="ff" w:themeTint="ff"/>
          <w:sz w:val="22"/>
          <w:szCs w:val="22"/>
          <w:lang w:val="es-ES"/>
        </w:rPr>
      </w:pPr>
      <w:r>
        <w:rPr>
          <w:rFonts w:eastAsia="Noto Sans" w:cs="Noto Sans" w:ascii="Noto Sans" w:hAnsi="Noto Sans"/>
          <w:color w:val="000000" w:themeColor="text1" w:themeShade="ff" w:themeTint="ff"/>
          <w:sz w:val="22"/>
          <w:szCs w:val="22"/>
          <w:lang w:val="es-ES"/>
        </w:rPr>
        <w:t xml:space="preserve">Varias de estas creaciones han sido compuestas expresamente para Alberto Rosado, </w:t>
      </w:r>
      <w:r>
        <w:rPr>
          <w:rFonts w:eastAsia="Noto Sans" w:cs="Noto Sans" w:ascii="Noto Sans" w:hAnsi="Noto Sans"/>
          <w:color w:val="000000" w:themeColor="text1" w:themeShade="ff" w:themeTint="ff"/>
          <w:sz w:val="22"/>
          <w:szCs w:val="22"/>
          <w:lang w:val="es-ES"/>
        </w:rPr>
        <w:t xml:space="preserve">lo que </w:t>
      </w:r>
      <w:r>
        <w:rPr>
          <w:rFonts w:eastAsia="Noto Sans" w:cs="Noto Sans" w:ascii="Noto Sans" w:hAnsi="Noto Sans"/>
          <w:color w:val="000000" w:themeColor="text1" w:themeShade="ff" w:themeTint="ff"/>
          <w:sz w:val="22"/>
          <w:szCs w:val="22"/>
          <w:lang w:val="es-ES"/>
        </w:rPr>
        <w:t>testimonia la relación de complicidad indispensable entre el intérprete y el creador en el desarrollo del repertorio contemporáneo. Este programa no solo celebra la madurez de la música mixta hispano-mexicana, sino que reafirma al piano como un organismo vivo, capaz de reinventarse a través del arte audiovisual y la tecnología de nuestro tiempo.</w:t>
      </w:r>
    </w:p>
    <w:p>
      <w:pPr>
        <w:pStyle w:val="NoSpacing"/>
        <w:ind w:left="708" w:hanging="0"/>
        <w:jc w:val="both"/>
        <w:rPr>
          <w:rFonts w:ascii="Noto Sans" w:hAnsi="Noto Sans" w:eastAsia="Noto Sans" w:cs="Noto Sans"/>
          <w:sz w:val="22"/>
          <w:szCs w:val="22"/>
        </w:rPr>
      </w:pPr>
      <w:r>
        <w:rPr>
          <w:rFonts w:eastAsia="Noto Sans" w:cs="Noto Sans" w:ascii="Noto Sans" w:hAnsi="Noto Sans"/>
          <w:sz w:val="22"/>
          <w:szCs w:val="22"/>
        </w:rPr>
      </w:r>
    </w:p>
    <w:p>
      <w:pPr>
        <w:pStyle w:val="NoSpacing"/>
        <w:jc w:val="both"/>
        <w:rPr>
          <w:rFonts w:ascii="Noto Sans" w:hAnsi="Noto Sans" w:eastAsia="Noto Sans" w:cs="Noto Sans"/>
          <w:sz w:val="22"/>
          <w:szCs w:val="22"/>
        </w:rPr>
      </w:pPr>
      <w:r>
        <w:rPr>
          <w:rFonts w:eastAsia="Noto San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Intérprete</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Alberto Rosado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Pertenece a una generación de intérpretes formados en un repertorio clásico y comprometidos de una manera especial con la música contemporánea. Su vocación musical se reparte entre la interpretación y la docencia, entre la cámara y el recital solista, o entre la orquesta y la electrónica. Ha trabajado con más de un centenar de compositores de todo el mundo que han enriquecido su visión de la música y de la interpretación, así como con directores de la talla de Eötvös, Mälkki, Nott, Mena, Pons o Frühbeck de Burgos. Entre la treintena de grabaciones editadas destacan el Concierto para piano de López López con Kairos, el Concierto de Ligeti con Neos y las obras completas para piano de Halffter y López López con Verso. Las más actuales son </w:t>
      </w:r>
      <w:r>
        <w:rPr>
          <w:rFonts w:eastAsia="Noto Sans" w:cs="Noto Sans" w:ascii="Noto Sans" w:hAnsi="Noto Sans"/>
          <w:b w:val="false"/>
          <w:bCs w:val="false"/>
          <w:i/>
          <w:iCs/>
          <w:caps w:val="false"/>
          <w:smallCaps w:val="false"/>
          <w:color w:val="000000" w:themeColor="text1" w:themeShade="ff" w:themeTint="ff"/>
          <w:sz w:val="22"/>
          <w:szCs w:val="22"/>
          <w:lang w:val="es-MX"/>
        </w:rPr>
        <w:t>e-piano_video&amp;electronics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con IBS-Classical, </w:t>
      </w:r>
      <w:r>
        <w:rPr>
          <w:rFonts w:eastAsia="Noto Sans" w:cs="Noto Sans" w:ascii="Noto Sans" w:hAnsi="Noto Sans"/>
          <w:b w:val="false"/>
          <w:bCs w:val="false"/>
          <w:i/>
          <w:iCs/>
          <w:caps w:val="false"/>
          <w:smallCaps w:val="false"/>
          <w:color w:val="000000" w:themeColor="text1" w:themeShade="ff" w:themeTint="ff"/>
          <w:sz w:val="22"/>
          <w:szCs w:val="22"/>
          <w:lang w:val="es-MX"/>
        </w:rPr>
        <w:t>Infinita Domenica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de José Manuel López López junto al Cuarteto Arditti para Kairos y </w:t>
      </w:r>
      <w:r>
        <w:rPr>
          <w:rFonts w:eastAsia="Noto Sans" w:cs="Noto Sans" w:ascii="Noto Sans" w:hAnsi="Noto Sans"/>
          <w:b w:val="false"/>
          <w:bCs w:val="false"/>
          <w:i/>
          <w:iCs/>
          <w:caps w:val="false"/>
          <w:smallCaps w:val="false"/>
          <w:color w:val="000000" w:themeColor="text1" w:themeShade="ff" w:themeTint="ff"/>
          <w:sz w:val="22"/>
          <w:szCs w:val="22"/>
          <w:lang w:val="es-MX"/>
        </w:rPr>
        <w:t>Fin du Temps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y </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Kammersymphonie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para IBS, junto a Andrada, Estellés, Apellániz e Iturriagagotia. Es profesor de música de cámara, piano contemporáneo e imparte la Maestría de Piano y música de cámara en el Conservatorio Superior de Castilla y León, donde dirige el Taller de música contemporánea.</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rPr>
          <w:rFonts w:ascii="Noto Sans" w:hAnsi="Noto Sans" w:cs="Noto Sans"/>
          <w:sz w:val="22"/>
          <w:szCs w:val="22"/>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e25a53"/>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e25a53"/>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e25a53"/>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e25a53"/>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e25a53"/>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e25a5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e25a5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e25a5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e25a5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e25a53"/>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e25a53"/>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e25a53"/>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e25a53"/>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e25a53"/>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e25a53"/>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e25a53"/>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e25a53"/>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e25a53"/>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e25a5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e25a53"/>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e25a53"/>
    <w:rPr>
      <w:i/>
      <w:iCs/>
      <w:color w:val="404040" w:themeColor="text1" w:themeTint="bf"/>
    </w:rPr>
  </w:style>
  <w:style w:type="character" w:styleId="IntenseEmphasis">
    <w:name w:val="Intense Emphasis"/>
    <w:basedOn w:val="DefaultParagraphFont"/>
    <w:uiPriority w:val="21"/>
    <w:qFormat/>
    <w:rsid w:val="00e25a53"/>
    <w:rPr>
      <w:i/>
      <w:iCs/>
      <w:color w:val="0F4761" w:themeColor="accent1" w:themeShade="bf"/>
    </w:rPr>
  </w:style>
  <w:style w:type="character" w:styleId="CitadestacadaCar" w:customStyle="1">
    <w:name w:val="Cita destacada Car"/>
    <w:basedOn w:val="DefaultParagraphFont"/>
    <w:link w:val="Citadestacada"/>
    <w:uiPriority w:val="30"/>
    <w:qFormat/>
    <w:rsid w:val="00e25a53"/>
    <w:rPr>
      <w:i/>
      <w:iCs/>
      <w:color w:val="0F4761" w:themeColor="accent1" w:themeShade="bf"/>
    </w:rPr>
  </w:style>
  <w:style w:type="character" w:styleId="IntenseReference">
    <w:name w:val="Intense Reference"/>
    <w:basedOn w:val="DefaultParagraphFont"/>
    <w:uiPriority w:val="32"/>
    <w:qFormat/>
    <w:rsid w:val="00e25a53"/>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e25a5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25a53"/>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e25a53"/>
    <w:pPr>
      <w:spacing w:before="160" w:after="160"/>
      <w:jc w:val="center"/>
    </w:pPr>
    <w:rPr>
      <w:i/>
      <w:iCs/>
      <w:color w:val="404040" w:themeColor="text1" w:themeTint="bf"/>
    </w:rPr>
  </w:style>
  <w:style w:type="paragraph" w:styleId="ListParagraph">
    <w:name w:val="List Paragraph"/>
    <w:basedOn w:val="Normal"/>
    <w:uiPriority w:val="34"/>
    <w:qFormat/>
    <w:rsid w:val="00e25a53"/>
    <w:pPr>
      <w:spacing w:before="0" w:after="160"/>
      <w:ind w:left="720" w:hanging="0"/>
      <w:contextualSpacing/>
    </w:pPr>
    <w:rPr/>
  </w:style>
  <w:style w:type="paragraph" w:styleId="IntenseQuote">
    <w:name w:val="Intense Quote"/>
    <w:basedOn w:val="Normal"/>
    <w:next w:val="Normal"/>
    <w:link w:val="CitadestacadaCar"/>
    <w:uiPriority w:val="30"/>
    <w:qFormat/>
    <w:rsid w:val="00e25a53"/>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e25a53"/>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AAF06A-EA8B-4D78-98E5-C8E456BCE895}"/>
</file>

<file path=customXml/itemProps2.xml><?xml version="1.0" encoding="utf-8"?>
<ds:datastoreItem xmlns:ds="http://schemas.openxmlformats.org/officeDocument/2006/customXml" ds:itemID="{1856EAA3-A97B-4A2E-B5C0-A0CB043CE2AC}"/>
</file>

<file path=customXml/itemProps3.xml><?xml version="1.0" encoding="utf-8"?>
<ds:datastoreItem xmlns:ds="http://schemas.openxmlformats.org/officeDocument/2006/customXml" ds:itemID="{FCB27EE0-12A0-4F2A-9A69-082D2FE81442}"/>
</file>

<file path=docProps/app.xml><?xml version="1.0" encoding="utf-8"?>
<Properties xmlns="http://schemas.openxmlformats.org/officeDocument/2006/extended-properties" xmlns:vt="http://schemas.openxmlformats.org/officeDocument/2006/docPropsVTypes">
  <Template>Normal</Template>
  <TotalTime>7</TotalTime>
  <Application>LibreOffice/7.0.4.2$MacOSX_X86_64 LibreOffice_project/dcf040e67528d9187c66b2379df5ea4407429775</Application>
  <AppVersion>15.0000</AppVersion>
  <Pages>4</Pages>
  <Words>1385</Words>
  <Characters>7585</Characters>
  <CharactersWithSpaces>9010</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2026-07-31T15:55:00Z</dcterms:created>
  <dc:creator>Xavier González Gómez</dc:creator>
  <dc:description/>
  <dc:language>es-ES</dc:language>
  <cp:lastModifiedBy/>
  <dcterms:modified xsi:type="dcterms:W3CDTF">2026-09-25T19:23:56Z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