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_rels/item3.xml.rels" ContentType="application/vnd.openxmlformats-package.relationships+xml"/>
  <Override PartName="/customXml/_rels/item1.xml.rels" ContentType="application/vnd.openxmlformats-package.relationships+xml"/>
  <Override PartName="/customXml/_rels/item2.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1.xml" ContentType="application/xml"/>
  <Override PartName="/customXml/item3.xml" ContentType="application/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rPr>
          <w:rFonts w:ascii="Noto Sans" w:hAnsi="Noto Sans" w:cs="Noto Sans"/>
        </w:rPr>
      </w:pPr>
      <w:r>
        <w:rPr>
          <w:rFonts w:cs="Noto Sans" w:ascii="Noto Sans" w:hAnsi="Noto Sans"/>
        </w:rPr>
        <w:t>48 FIMNME</w:t>
      </w:r>
    </w:p>
    <w:p>
      <w:pPr>
        <w:pStyle w:val="NoSpacing"/>
        <w:rPr>
          <w:rFonts w:ascii="Noto Sans" w:hAnsi="Noto Sans" w:cs="Noto Sans"/>
        </w:rPr>
      </w:pPr>
      <w:r>
        <w:rPr>
          <w:rFonts w:cs="Noto Sans" w:ascii="Noto Sans" w:hAnsi="Noto Sans"/>
        </w:rPr>
        <w:t>Pabellón Escénico, Jardín Escénico</w:t>
      </w:r>
    </w:p>
    <w:p>
      <w:pPr>
        <w:pStyle w:val="NoSpacing"/>
        <w:spacing w:lineRule="auto" w:line="240" w:beforeAutospacing="0" w:before="0" w:afterAutospacing="0" w:after="0"/>
        <w:ind w:left="0" w:right="0" w:hanging="0"/>
        <w:jc w:val="left"/>
        <w:rPr>
          <w:rFonts w:ascii="Noto Sans" w:hAnsi="Noto Sans" w:cs="Noto Sans"/>
        </w:rPr>
      </w:pPr>
      <w:r>
        <w:rPr>
          <w:rFonts w:cs="Noto Sans" w:ascii="Noto Sans" w:hAnsi="Noto Sans"/>
        </w:rPr>
        <w:t>Sábado 14 de noviembre, 12:00 h</w:t>
      </w:r>
    </w:p>
    <w:p>
      <w:pPr>
        <w:pStyle w:val="NoSpacing"/>
        <w:rPr>
          <w:rFonts w:ascii="Noto Sans" w:hAnsi="Noto Sans" w:cs="Noto Sans"/>
        </w:rPr>
      </w:pPr>
      <w:r>
        <w:rPr>
          <w:rFonts w:cs="Noto Sans" w:ascii="Noto Sans" w:hAnsi="Noto Sans"/>
        </w:rPr>
      </w:r>
    </w:p>
    <w:p>
      <w:pPr>
        <w:pStyle w:val="NoSpacing"/>
        <w:rPr/>
      </w:pPr>
      <w:r>
        <w:rPr>
          <w:rFonts w:cs="Noto Sans" w:ascii="Noto Sans" w:hAnsi="Noto Sans"/>
        </w:rPr>
        <w:t>Programa</w:t>
      </w:r>
    </w:p>
    <w:p>
      <w:pPr>
        <w:pStyle w:val="NoSpacing"/>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Iannis Xenakis </w:t>
      </w:r>
    </w:p>
    <w:p>
      <w:pPr>
        <w:pStyle w:val="NoSpacing"/>
        <w:rPr/>
      </w:pPr>
      <w:r>
        <w:rPr>
          <w:rFonts w:cs="Noto Sans" w:ascii="Noto Sans" w:hAnsi="Noto Sans"/>
          <w:i/>
          <w:iCs/>
        </w:rPr>
        <w:t>Rebonds</w:t>
      </w:r>
      <w:r>
        <w:rPr>
          <w:rFonts w:cs="Noto Sans" w:ascii="Noto Sans" w:hAnsi="Noto Sans"/>
        </w:rPr>
        <w:t xml:space="preserve"> </w:t>
      </w:r>
      <w:r>
        <w:rPr>
          <w:rFonts w:cs="Noto Sans" w:ascii="Noto Sans" w:hAnsi="Noto Sans"/>
          <w:i/>
          <w:iCs/>
        </w:rPr>
        <w:t xml:space="preserve">A </w:t>
      </w:r>
      <w:r>
        <w:rPr>
          <w:rFonts w:cs="Noto Sans" w:ascii="Noto Sans" w:hAnsi="Noto Sans"/>
        </w:rPr>
        <w:t>(1987-1989)</w:t>
      </w:r>
      <w:r>
        <w:rPr/>
        <w:tab/>
        <w:tab/>
        <w:tab/>
        <w:tab/>
        <w:tab/>
        <w:tab/>
        <w:tab/>
        <w:tab/>
      </w:r>
      <w:r>
        <w:rPr>
          <w:rFonts w:cs="Noto Sans" w:ascii="Noto Sans" w:hAnsi="Noto Sans"/>
        </w:rPr>
        <w:t>6’</w:t>
      </w:r>
    </w:p>
    <w:p>
      <w:pPr>
        <w:pStyle w:val="NoSpacing"/>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Liao Lin Ni </w:t>
      </w:r>
    </w:p>
    <w:p>
      <w:pPr>
        <w:pStyle w:val="NoSpacing"/>
        <w:jc w:val="both"/>
        <w:rPr>
          <w:rFonts w:ascii="Noto Sans" w:hAnsi="Noto Sans" w:cs="Noto Sans"/>
          <w:i/>
          <w:i/>
          <w:iCs/>
        </w:rPr>
      </w:pPr>
      <w:r>
        <w:rPr>
          <w:rFonts w:cs="Noto Sans" w:ascii="Noto Sans" w:hAnsi="Noto Sans"/>
          <w:i/>
          <w:iCs/>
        </w:rPr>
        <w:t xml:space="preserve">TTy </w:t>
      </w:r>
      <w:r>
        <w:rPr>
          <w:rFonts w:cs="Noto Sans" w:ascii="Noto Sans" w:hAnsi="Noto Sans"/>
        </w:rPr>
        <w:t>(2011- rev. 2020)</w:t>
      </w:r>
      <w:r>
        <w:rPr/>
        <w:tab/>
        <w:tab/>
        <w:tab/>
        <w:tab/>
        <w:tab/>
        <w:tab/>
        <w:tab/>
        <w:tab/>
        <w:tab/>
      </w:r>
      <w:r>
        <w:rPr>
          <w:rFonts w:cs="Noto Sans" w:ascii="Noto Sans" w:hAnsi="Noto Sans"/>
        </w:rPr>
        <w:t>12’</w:t>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Gabriela Ortiz</w:t>
      </w:r>
    </w:p>
    <w:p>
      <w:pPr>
        <w:pStyle w:val="NoSpacing"/>
        <w:rPr>
          <w:rFonts w:ascii="Noto Sans" w:hAnsi="Noto Sans" w:cs="Noto Sans"/>
        </w:rPr>
      </w:pPr>
      <w:r>
        <w:rPr>
          <w:rFonts w:cs="Noto Sans" w:ascii="Noto Sans" w:hAnsi="Noto Sans"/>
          <w:i/>
          <w:iCs/>
        </w:rPr>
        <w:t>Atlas Pumas</w:t>
      </w:r>
      <w:r>
        <w:rPr>
          <w:rFonts w:cs="Noto Sans" w:ascii="Noto Sans" w:hAnsi="Noto Sans"/>
        </w:rPr>
        <w:t xml:space="preserve"> (1996)</w:t>
      </w:r>
      <w:r>
        <w:rPr>
          <w:rFonts w:cs="Noto Sans" w:ascii="Noto Sans" w:hAnsi="Noto Sans"/>
          <w:i/>
          <w:iCs/>
        </w:rPr>
        <w:t>*</w:t>
      </w:r>
      <w:r>
        <w:rPr>
          <w:rFonts w:cs="Noto Sans" w:ascii="Noto Sans" w:hAnsi="Noto Sans"/>
        </w:rPr>
        <w:tab/>
        <w:tab/>
        <w:tab/>
        <w:tab/>
        <w:tab/>
        <w:tab/>
        <w:tab/>
        <w:tab/>
        <w:tab/>
        <w:t>12’</w:t>
      </w:r>
    </w:p>
    <w:p>
      <w:pPr>
        <w:pStyle w:val="NoSpacing"/>
        <w:ind w:left="284" w:hanging="0"/>
        <w:rPr>
          <w:rFonts w:ascii="Noto Sans" w:hAnsi="Noto Sans" w:cs="Noto Sans"/>
          <w:i/>
          <w:i/>
          <w:iCs/>
        </w:rPr>
      </w:pPr>
      <w:r>
        <w:rPr>
          <w:rFonts w:cs="Noto Sans" w:ascii="Noto Sans" w:hAnsi="Noto Sans"/>
          <w:i/>
          <w:iCs/>
        </w:rPr>
        <w:t>Primer tiempo</w:t>
      </w:r>
    </w:p>
    <w:p>
      <w:pPr>
        <w:pStyle w:val="NoSpacing"/>
        <w:ind w:left="284" w:hanging="0"/>
        <w:rPr>
          <w:rFonts w:ascii="Noto Sans" w:hAnsi="Noto Sans" w:cs="Noto Sans"/>
          <w:i/>
          <w:i/>
          <w:iCs/>
        </w:rPr>
      </w:pPr>
      <w:r>
        <w:rPr>
          <w:rFonts w:cs="Noto Sans" w:ascii="Noto Sans" w:hAnsi="Noto Sans"/>
          <w:i/>
          <w:iCs/>
        </w:rPr>
        <w:t>Medio tiempo</w:t>
      </w:r>
    </w:p>
    <w:p>
      <w:pPr>
        <w:pStyle w:val="NoSpacing"/>
        <w:ind w:left="284" w:hanging="0"/>
        <w:rPr>
          <w:rFonts w:ascii="Noto Sans" w:hAnsi="Noto Sans" w:cs="Noto Sans"/>
          <w:i/>
          <w:i/>
          <w:iCs/>
        </w:rPr>
      </w:pPr>
      <w:r>
        <w:rPr>
          <w:rFonts w:cs="Noto Sans" w:ascii="Noto Sans" w:hAnsi="Noto Sans"/>
          <w:i/>
          <w:iCs/>
        </w:rPr>
        <w:t>Segundo tiempo</w:t>
      </w:r>
    </w:p>
    <w:p>
      <w:pPr>
        <w:pStyle w:val="NoSpacing"/>
        <w:rPr>
          <w:rFonts w:ascii="Noto Sans" w:hAnsi="Noto Sans" w:cs="Noto Sans"/>
        </w:rPr>
      </w:pPr>
      <w:r>
        <w:rPr>
          <w:rFonts w:cs="Noto Sans" w:ascii="Noto Sans" w:hAnsi="Noto Sans"/>
        </w:rPr>
      </w:r>
    </w:p>
    <w:p>
      <w:pPr>
        <w:pStyle w:val="NoSpacing"/>
        <w:ind w:firstLine="708"/>
        <w:rPr/>
      </w:pPr>
      <w:r>
        <w:rPr>
          <w:rFonts w:cs="Noto Sans" w:ascii="Noto Sans" w:hAnsi="Noto Sans"/>
          <w:b w:val="false"/>
          <w:bCs w:val="false"/>
        </w:rPr>
        <w:t>Juanmanuel Flores, v</w:t>
      </w:r>
      <w:r>
        <w:rPr>
          <w:rFonts w:cs="Noto Sans" w:ascii="Noto Sans" w:hAnsi="Noto Sans"/>
        </w:rPr>
        <w:t>iolín</w:t>
      </w:r>
    </w:p>
    <w:p>
      <w:pPr>
        <w:pStyle w:val="NoSpacing"/>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Manuel Enriquez </w:t>
      </w:r>
    </w:p>
    <w:p>
      <w:pPr>
        <w:pStyle w:val="NoSpacing"/>
        <w:jc w:val="both"/>
        <w:rPr>
          <w:rFonts w:ascii="Noto Sans" w:hAnsi="Noto Sans" w:cs="Noto Sans"/>
        </w:rPr>
      </w:pPr>
      <w:r>
        <w:rPr>
          <w:rFonts w:cs="Noto Sans" w:ascii="Noto Sans" w:hAnsi="Noto Sans"/>
          <w:i/>
          <w:iCs/>
        </w:rPr>
        <w:t xml:space="preserve">Canto a un dios mineral </w:t>
      </w:r>
      <w:r>
        <w:rPr>
          <w:rFonts w:cs="Noto Sans" w:ascii="Noto Sans" w:hAnsi="Noto Sans"/>
        </w:rPr>
        <w:t>(1992)</w:t>
      </w:r>
      <w:r>
        <w:rPr/>
        <w:tab/>
        <w:tab/>
        <w:tab/>
        <w:tab/>
        <w:tab/>
        <w:tab/>
        <w:tab/>
      </w:r>
      <w:r>
        <w:rPr>
          <w:rFonts w:cs="Noto Sans" w:ascii="Noto Sans" w:hAnsi="Noto Sans"/>
        </w:rPr>
        <w:t>10’</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b/>
          <w:bCs/>
        </w:rPr>
        <w:t xml:space="preserve">Iannis Xenakis </w:t>
      </w:r>
    </w:p>
    <w:p>
      <w:pPr>
        <w:pStyle w:val="NoSpacing"/>
        <w:jc w:val="both"/>
        <w:rPr>
          <w:rFonts w:ascii="Noto Sans" w:hAnsi="Noto Sans" w:cs="Noto Sans"/>
        </w:rPr>
      </w:pPr>
      <w:r>
        <w:rPr>
          <w:rFonts w:cs="Noto Sans" w:ascii="Noto Sans" w:hAnsi="Noto Sans"/>
          <w:i/>
          <w:iCs/>
        </w:rPr>
        <w:t>Rebonds B</w:t>
      </w:r>
      <w:r>
        <w:rPr>
          <w:rFonts w:cs="Noto Sans" w:ascii="Noto Sans" w:hAnsi="Noto Sans"/>
        </w:rPr>
        <w:t xml:space="preserve"> (1987-1989)</w:t>
      </w:r>
      <w:r>
        <w:rPr/>
        <w:tab/>
        <w:tab/>
        <w:tab/>
        <w:tab/>
        <w:tab/>
        <w:tab/>
        <w:tab/>
        <w:tab/>
      </w:r>
      <w:r>
        <w:rPr>
          <w:rFonts w:cs="Noto Sans" w:ascii="Noto Sans" w:hAnsi="Noto Sans"/>
        </w:rPr>
        <w:t>6’</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b/>
          <w:bCs/>
        </w:rPr>
        <w:t>Bryan Flores</w:t>
      </w:r>
      <w:r>
        <w:rPr>
          <w:rFonts w:cs="Noto Sans" w:ascii="Noto Sans" w:hAnsi="Noto Sans"/>
        </w:rPr>
        <w:t>, percusiones</w:t>
      </w:r>
    </w:p>
    <w:p>
      <w:pPr>
        <w:pStyle w:val="NoSpacing"/>
        <w:pBdr>
          <w:bottom w:val="single" w:sz="6" w:space="1" w:color="000000"/>
        </w:pBdr>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b/>
          <w:b/>
          <w:bCs/>
        </w:rPr>
      </w:pPr>
      <w:r>
        <w:rPr>
          <w:rFonts w:cs="Noto Sans" w:ascii="Noto Sans" w:hAnsi="Noto Sans"/>
          <w:b/>
          <w:bCs/>
        </w:rPr>
        <w:t>Manuel Enríquez</w:t>
        <w:tab/>
      </w:r>
    </w:p>
    <w:p>
      <w:pPr>
        <w:pStyle w:val="NoSpacing"/>
        <w:rPr>
          <w:rFonts w:ascii="Noto Sans" w:hAnsi="Noto Sans" w:cs="Noto Sans"/>
          <w:lang w:val="it-IT"/>
        </w:rPr>
      </w:pPr>
      <w:r>
        <w:rPr>
          <w:rFonts w:cs="Noto Sans" w:ascii="Noto Sans" w:hAnsi="Noto Sans"/>
          <w:i/>
          <w:iCs/>
          <w:lang w:val="it-IT"/>
        </w:rPr>
        <w:t>Políptico</w:t>
      </w:r>
      <w:r>
        <w:rPr>
          <w:rFonts w:cs="Noto Sans" w:ascii="Noto Sans" w:hAnsi="Noto Sans"/>
          <w:lang w:val="it-IT"/>
        </w:rPr>
        <w:tab/>
        <w:tab/>
        <w:tab/>
        <w:tab/>
        <w:tab/>
        <w:tab/>
        <w:tab/>
        <w:tab/>
        <w:tab/>
        <w:tab/>
        <w:t>16’</w:t>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lang w:val="it-IT"/>
        </w:rPr>
      </w:pPr>
      <w:r>
        <w:rPr>
          <w:rFonts w:cs="Noto Sans" w:ascii="Noto Sans" w:hAnsi="Noto Sans"/>
          <w:lang w:val="it-IT"/>
        </w:rPr>
      </w:r>
    </w:p>
    <w:p>
      <w:pPr>
        <w:pStyle w:val="NoSpacing"/>
        <w:rPr>
          <w:rFonts w:ascii="Noto Sans" w:hAnsi="Noto Sans" w:cs="Noto Sans"/>
          <w:b/>
          <w:b/>
          <w:bCs/>
          <w:lang w:val="it-IT"/>
        </w:rPr>
      </w:pPr>
      <w:r>
        <w:rPr>
          <w:rFonts w:cs="Noto Sans" w:ascii="Noto Sans" w:hAnsi="Noto Sans"/>
          <w:b/>
          <w:bCs/>
          <w:lang w:val="it-IT"/>
        </w:rPr>
        <w:t>Fourtissimo Percussion Ensemble</w:t>
        <w:tab/>
        <w:tab/>
        <w:t xml:space="preserve"> </w:t>
      </w:r>
    </w:p>
    <w:p>
      <w:pPr>
        <w:pStyle w:val="NoSpacing"/>
        <w:rPr>
          <w:rFonts w:ascii="Noto Sans" w:hAnsi="Noto Sans" w:cs="Noto Sans"/>
        </w:rPr>
      </w:pPr>
      <w:r>
        <w:rPr>
          <w:rFonts w:cs="Noto Sans" w:ascii="Noto Sans" w:hAnsi="Noto Sans"/>
        </w:rPr>
        <w:t>Marco Mora</w:t>
      </w:r>
    </w:p>
    <w:p>
      <w:pPr>
        <w:pStyle w:val="NoSpacing"/>
        <w:rPr>
          <w:rFonts w:ascii="Noto Sans" w:hAnsi="Noto Sans" w:cs="Noto Sans"/>
        </w:rPr>
      </w:pPr>
      <w:r>
        <w:rPr>
          <w:rFonts w:cs="Noto Sans" w:ascii="Noto Sans" w:hAnsi="Noto Sans"/>
        </w:rPr>
        <w:t>Bryan Flores</w:t>
      </w:r>
    </w:p>
    <w:p>
      <w:pPr>
        <w:pStyle w:val="NoSpacing"/>
        <w:rPr>
          <w:rFonts w:ascii="Noto Sans" w:hAnsi="Noto Sans" w:cs="Noto Sans"/>
        </w:rPr>
      </w:pPr>
      <w:r>
        <w:rPr>
          <w:rFonts w:cs="Noto Sans" w:ascii="Noto Sans" w:hAnsi="Noto Sans"/>
        </w:rPr>
        <w:t xml:space="preserve">Eduardo Torres </w:t>
      </w:r>
    </w:p>
    <w:p>
      <w:pPr>
        <w:pStyle w:val="NoSpacing"/>
        <w:rPr>
          <w:rFonts w:ascii="Noto Sans" w:hAnsi="Noto Sans" w:cs="Noto Sans"/>
        </w:rPr>
      </w:pPr>
      <w:r>
        <w:rPr>
          <w:rFonts w:cs="Noto Sans" w:ascii="Noto Sans" w:hAnsi="Noto Sans"/>
        </w:rPr>
        <w:t xml:space="preserve">Rubí Topacio Ortíz </w:t>
      </w:r>
    </w:p>
    <w:p>
      <w:pPr>
        <w:pStyle w:val="NoSpacing"/>
        <w:rPr>
          <w:rFonts w:ascii="Noto Sans" w:hAnsi="Noto Sans" w:cs="Noto Sans"/>
        </w:rPr>
      </w:pPr>
      <w:r>
        <w:rPr>
          <w:rFonts w:cs="Noto Sans" w:ascii="Noto Sans" w:hAnsi="Noto Sans"/>
        </w:rPr>
        <w:t>Abraham Parra</w:t>
      </w:r>
    </w:p>
    <w:p>
      <w:pPr>
        <w:pStyle w:val="NoSpacing"/>
        <w:rPr>
          <w:rFonts w:ascii="Noto Sans" w:hAnsi="Noto Sans" w:cs="Noto Sans"/>
        </w:rPr>
      </w:pPr>
      <w:r>
        <w:rPr>
          <w:rFonts w:cs="Noto Sans" w:ascii="Noto Sans" w:hAnsi="Noto Sans"/>
        </w:rPr>
        <w:t>Carlos Blázquez</w:t>
      </w:r>
    </w:p>
    <w:p>
      <w:pPr>
        <w:pStyle w:val="NoSpacing"/>
        <w:rPr>
          <w:rFonts w:ascii="Noto Sans" w:hAnsi="Noto Sans" w:cs="Noto Sans"/>
        </w:rPr>
      </w:pPr>
      <w:r>
        <w:rPr>
          <w:rFonts w:cs="Noto Sans" w:ascii="Noto Sans" w:hAnsi="Noto Sans"/>
        </w:rPr>
      </w:r>
    </w:p>
    <w:p>
      <w:pPr>
        <w:pStyle w:val="NoSpacing"/>
        <w:pBdr>
          <w:bottom w:val="single" w:sz="6" w:space="1" w:color="000000"/>
        </w:pBdr>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both"/>
        <w:rPr>
          <w:rFonts w:ascii="Noto Sans" w:hAnsi="Noto Sans" w:cs="Noto Sans"/>
          <w:lang w:val="de-DE"/>
        </w:rPr>
      </w:pPr>
      <w:r>
        <w:rPr>
          <w:rFonts w:cs="Noto Sans" w:ascii="Noto Sans" w:hAnsi="Noto Sans"/>
          <w:b/>
          <w:bCs/>
          <w:lang w:val="de-DE"/>
        </w:rPr>
        <w:t>Nicolaus A. Huber</w:t>
      </w:r>
    </w:p>
    <w:p>
      <w:pPr>
        <w:pStyle w:val="NoSpacing"/>
        <w:jc w:val="both"/>
        <w:rPr>
          <w:rFonts w:ascii="Noto Sans" w:hAnsi="Noto Sans" w:cs="Noto Sans"/>
          <w:lang w:val="de-DE"/>
        </w:rPr>
      </w:pPr>
      <w:r>
        <w:rPr>
          <w:rFonts w:cs="Noto Sans" w:ascii="Noto Sans" w:hAnsi="Noto Sans"/>
          <w:i/>
          <w:iCs/>
          <w:lang w:val="de-DE"/>
        </w:rPr>
        <w:t>Dasselbe ist nicht dasselbe</w:t>
      </w:r>
      <w:r>
        <w:rPr>
          <w:rFonts w:cs="Noto Sans" w:ascii="Noto Sans" w:hAnsi="Noto Sans"/>
          <w:lang w:val="de-DE"/>
        </w:rPr>
        <w:t xml:space="preserve"> (1978)**</w:t>
      </w:r>
      <w:r>
        <w:rPr>
          <w:rFonts w:cs="Noto Sans" w:ascii="Noto Sans" w:hAnsi="Noto Sans"/>
          <w:b/>
          <w:bCs/>
          <w:lang w:val="de-DE"/>
        </w:rPr>
        <w:t xml:space="preserve"> </w:t>
        <w:tab/>
        <w:tab/>
        <w:tab/>
        <w:tab/>
        <w:tab/>
        <w:tab/>
      </w:r>
      <w:r>
        <w:rPr>
          <w:rFonts w:cs="Noto Sans" w:ascii="Noto Sans" w:hAnsi="Noto Sans"/>
          <w:lang w:val="de-DE"/>
        </w:rPr>
        <w:t>16’</w:t>
      </w:r>
    </w:p>
    <w:p>
      <w:pPr>
        <w:pStyle w:val="NoSpacing"/>
        <w:jc w:val="both"/>
        <w:rPr>
          <w:rFonts w:ascii="Noto Sans" w:hAnsi="Noto Sans" w:cs="Noto Sans"/>
          <w:lang w:val="de-DE"/>
        </w:rPr>
      </w:pPr>
      <w:r>
        <w:rPr>
          <w:rFonts w:cs="Noto Sans" w:ascii="Noto Sans" w:hAnsi="Noto Sans"/>
          <w:lang w:val="de-DE"/>
        </w:rPr>
      </w:r>
    </w:p>
    <w:p>
      <w:pPr>
        <w:pStyle w:val="NoSpacing"/>
        <w:jc w:val="both"/>
        <w:rPr>
          <w:rFonts w:ascii="Noto Sans" w:hAnsi="Noto Sans" w:cs="Noto Sans"/>
        </w:rPr>
      </w:pPr>
      <w:r>
        <w:rPr>
          <w:rFonts w:cs="Noto Sans" w:ascii="Noto Sans" w:hAnsi="Noto Sans"/>
          <w:b/>
          <w:bCs/>
        </w:rPr>
        <w:t>Manuel Enríquez</w:t>
      </w:r>
      <w:r>
        <w:rPr>
          <w:rFonts w:cs="Noto Sans" w:ascii="Noto Sans" w:hAnsi="Noto Sans"/>
        </w:rPr>
        <w:tab/>
        <w:tab/>
        <w:tab/>
      </w:r>
    </w:p>
    <w:p>
      <w:pPr>
        <w:pStyle w:val="NoSpacing"/>
        <w:jc w:val="both"/>
        <w:rPr>
          <w:rFonts w:ascii="Noto Sans" w:hAnsi="Noto Sans" w:cs="Noto Sans"/>
        </w:rPr>
      </w:pPr>
      <w:r>
        <w:rPr>
          <w:rFonts w:cs="Noto Sans" w:ascii="Noto Sans" w:hAnsi="Noto Sans"/>
          <w:i/>
          <w:iCs/>
        </w:rPr>
        <w:t xml:space="preserve">Interecos, para la puerta de Ángela Gurria </w:t>
      </w:r>
      <w:r>
        <w:rPr>
          <w:rFonts w:cs="Noto Sans" w:ascii="Noto Sans" w:hAnsi="Noto Sans"/>
        </w:rPr>
        <w:t>(1983)</w:t>
      </w:r>
      <w:r>
        <w:rPr>
          <w:rFonts w:cs="Noto Sans" w:ascii="Noto Sans" w:hAnsi="Noto Sans"/>
          <w:i/>
          <w:iCs/>
        </w:rPr>
        <w:tab/>
        <w:tab/>
        <w:tab/>
        <w:tab/>
        <w:tab/>
      </w:r>
      <w:r>
        <w:rPr>
          <w:rFonts w:cs="Noto Sans" w:ascii="Noto Sans" w:hAnsi="Noto Sans"/>
        </w:rPr>
        <w:t>14’</w:t>
      </w:r>
    </w:p>
    <w:p>
      <w:pPr>
        <w:pStyle w:val="NoSpacing"/>
        <w:jc w:val="both"/>
        <w:rPr>
          <w:rFonts w:ascii="Noto Sans" w:hAnsi="Noto Sans" w:cs="Noto Sans"/>
        </w:rPr>
      </w:pPr>
      <w:r>
        <w:rPr>
          <w:rFonts w:cs="Noto Sans" w:ascii="Noto Sans" w:hAnsi="Noto Sans"/>
        </w:rPr>
        <w:tab/>
        <w:tab/>
      </w:r>
    </w:p>
    <w:p>
      <w:pPr>
        <w:pStyle w:val="NoSpacing"/>
        <w:jc w:val="both"/>
        <w:rPr>
          <w:rFonts w:ascii="Noto Sans" w:hAnsi="Noto Sans" w:cs="Noto Sans"/>
          <w:b/>
          <w:b/>
          <w:bCs/>
        </w:rPr>
      </w:pPr>
      <w:r>
        <w:rPr>
          <w:rFonts w:cs="Noto Sans" w:ascii="Noto Sans" w:hAnsi="Noto Sans"/>
          <w:b/>
          <w:bCs/>
        </w:rPr>
        <w:t xml:space="preserve">Bruce Hamilton </w:t>
      </w:r>
    </w:p>
    <w:p>
      <w:pPr>
        <w:pStyle w:val="NoSpacing"/>
        <w:jc w:val="both"/>
        <w:rPr>
          <w:rFonts w:ascii="Noto Sans" w:hAnsi="Noto Sans" w:cs="Noto Sans"/>
        </w:rPr>
      </w:pPr>
      <w:r>
        <w:rPr>
          <w:rFonts w:cs="Noto Sans" w:ascii="Noto Sans" w:hAnsi="Noto Sans"/>
          <w:i/>
          <w:iCs/>
        </w:rPr>
        <w:t>Interzones</w:t>
      </w:r>
      <w:r>
        <w:rPr>
          <w:rFonts w:cs="Noto Sans" w:ascii="Noto Sans" w:hAnsi="Noto Sans"/>
        </w:rPr>
        <w:t xml:space="preserve"> (1996)</w:t>
        <w:tab/>
        <w:tab/>
        <w:tab/>
        <w:tab/>
        <w:tab/>
        <w:tab/>
        <w:tab/>
        <w:tab/>
        <w:tab/>
        <w:t>11’</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Kaija Saariaho</w:t>
      </w:r>
    </w:p>
    <w:p>
      <w:pPr>
        <w:pStyle w:val="NoSpacing"/>
        <w:jc w:val="both"/>
        <w:rPr>
          <w:rFonts w:ascii="Noto Sans" w:hAnsi="Noto Sans" w:cs="Noto Sans"/>
        </w:rPr>
      </w:pPr>
      <w:r>
        <w:rPr>
          <w:rFonts w:cs="Noto Sans" w:ascii="Noto Sans" w:hAnsi="Noto Sans"/>
          <w:i/>
          <w:iCs/>
        </w:rPr>
        <w:t>Six Japanese Gardens</w:t>
      </w:r>
      <w:r>
        <w:rPr>
          <w:rFonts w:cs="Noto Sans" w:ascii="Noto Sans" w:hAnsi="Noto Sans"/>
        </w:rPr>
        <w:t xml:space="preserve"> (1993-1995)</w:t>
        <w:tab/>
        <w:tab/>
        <w:tab/>
        <w:tab/>
        <w:tab/>
        <w:tab/>
        <w:tab/>
        <w:t>18’</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Abraham Parra Arámburo</w:t>
      </w:r>
      <w:r>
        <w:rPr>
          <w:rFonts w:cs="Noto Sans" w:ascii="Noto Sans" w:hAnsi="Noto Sans"/>
        </w:rPr>
        <w:t>, percusiones</w:t>
      </w:r>
    </w:p>
    <w:p>
      <w:pPr>
        <w:pStyle w:val="NoSpacing"/>
        <w:jc w:val="both"/>
        <w:rPr>
          <w:rFonts w:ascii="Noto Sans" w:hAnsi="Noto Sans" w:cs="Noto Sans"/>
        </w:rPr>
      </w:pPr>
      <w:r>
        <w:rPr>
          <w:rFonts w:cs="Noto Sans" w:ascii="Noto Sans" w:hAnsi="Noto Sans"/>
        </w:rPr>
      </w:r>
    </w:p>
    <w:p>
      <w:pPr>
        <w:pStyle w:val="NoSpacing"/>
        <w:pBdr>
          <w:bottom w:val="single" w:sz="6" w:space="1" w:color="000000"/>
        </w:pBdr>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Gene Koshinski </w:t>
      </w:r>
    </w:p>
    <w:p>
      <w:pPr>
        <w:pStyle w:val="NoSpacing"/>
        <w:jc w:val="both"/>
        <w:rPr>
          <w:rFonts w:ascii="Noto Sans" w:hAnsi="Noto Sans" w:cs="Noto Sans"/>
        </w:rPr>
      </w:pPr>
      <w:r>
        <w:rPr>
          <w:rFonts w:cs="Noto Sans" w:ascii="Noto Sans" w:hAnsi="Noto Sans"/>
          <w:i/>
          <w:iCs/>
        </w:rPr>
        <w:t>Killjoy</w:t>
      </w:r>
      <w:r>
        <w:rPr>
          <w:rFonts w:cs="Noto Sans" w:ascii="Noto Sans" w:hAnsi="Noto Sans"/>
        </w:rPr>
        <w:t xml:space="preserve"> (2019)* </w:t>
        <w:tab/>
        <w:tab/>
        <w:tab/>
        <w:tab/>
        <w:tab/>
        <w:tab/>
        <w:tab/>
        <w:tab/>
        <w:tab/>
        <w:t>15’</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Terry Riley</w:t>
      </w:r>
    </w:p>
    <w:p>
      <w:pPr>
        <w:pStyle w:val="NoSpacing"/>
        <w:jc w:val="both"/>
        <w:rPr>
          <w:rFonts w:ascii="Noto Sans" w:hAnsi="Noto Sans" w:cs="Noto Sans"/>
        </w:rPr>
      </w:pPr>
      <w:r>
        <w:rPr>
          <w:rFonts w:cs="Noto Sans" w:ascii="Noto Sans" w:hAnsi="Noto Sans"/>
          <w:i/>
          <w:iCs/>
        </w:rPr>
        <w:t xml:space="preserve">Días de los Muertos </w:t>
      </w:r>
      <w:r>
        <w:rPr>
          <w:rFonts w:cs="Noto Sans" w:ascii="Noto Sans" w:hAnsi="Noto Sans"/>
        </w:rPr>
        <w:t>(1998)</w:t>
      </w:r>
      <w:r>
        <w:rPr>
          <w:rFonts w:cs="Noto Sans" w:ascii="Noto Sans" w:hAnsi="Noto Sans"/>
          <w:i/>
          <w:iCs/>
        </w:rPr>
        <w:t>*</w:t>
        <w:tab/>
        <w:tab/>
        <w:tab/>
        <w:tab/>
        <w:tab/>
        <w:tab/>
        <w:tab/>
        <w:tab/>
      </w:r>
      <w:r>
        <w:rPr>
          <w:rFonts w:cs="Noto Sans" w:ascii="Noto Sans" w:hAnsi="Noto Sans"/>
        </w:rPr>
        <w:t>15’</w:t>
      </w:r>
    </w:p>
    <w:p>
      <w:pPr>
        <w:pStyle w:val="NoSpacing"/>
        <w:jc w:val="both"/>
        <w:rPr>
          <w:rFonts w:ascii="Noto Sans" w:hAnsi="Noto Sans" w:cs="Noto Sans"/>
          <w:i/>
          <w:i/>
          <w:iCs/>
        </w:rPr>
      </w:pPr>
      <w:r>
        <w:rPr>
          <w:rFonts w:cs="Noto Sans" w:ascii="Noto Sans" w:hAnsi="Noto Sans"/>
          <w:i/>
          <w:iCs/>
        </w:rPr>
        <w:t xml:space="preserve">     </w:t>
      </w:r>
      <w:r>
        <w:rPr>
          <w:rFonts w:cs="Noto Sans" w:ascii="Noto Sans" w:hAnsi="Noto Sans"/>
          <w:i/>
          <w:iCs/>
        </w:rPr>
        <w:t>Se aparece la Muerte inocentemente por la tarde</w:t>
      </w:r>
    </w:p>
    <w:p>
      <w:pPr>
        <w:pStyle w:val="NoSpacing"/>
        <w:jc w:val="both"/>
        <w:rPr>
          <w:rFonts w:ascii="Noto Sans" w:hAnsi="Noto Sans" w:cs="Noto Sans"/>
          <w:i/>
          <w:i/>
          <w:iCs/>
        </w:rPr>
      </w:pPr>
      <w:r>
        <w:rPr>
          <w:rFonts w:cs="Noto Sans" w:ascii="Noto Sans" w:hAnsi="Noto Sans"/>
          <w:i/>
          <w:iCs/>
        </w:rPr>
        <w:t xml:space="preserve">     </w:t>
      </w:r>
      <w:r>
        <w:rPr>
          <w:rFonts w:cs="Noto Sans" w:ascii="Noto Sans" w:hAnsi="Noto Sans"/>
          <w:i/>
          <w:iCs/>
        </w:rPr>
        <w:t>La Muerte en medias caladas negras</w:t>
      </w:r>
    </w:p>
    <w:p>
      <w:pPr>
        <w:pStyle w:val="NoSpacing"/>
        <w:jc w:val="right"/>
        <w:rPr>
          <w:rFonts w:ascii="Noto Sans" w:hAnsi="Noto Sans" w:cs="Noto Sans"/>
          <w:sz w:val="20"/>
          <w:szCs w:val="20"/>
        </w:rPr>
      </w:pPr>
      <w:r>
        <w:rPr>
          <w:rFonts w:cs="Noto Sans" w:ascii="Noto Sans" w:hAnsi="Noto Sans"/>
          <w:sz w:val="20"/>
          <w:szCs w:val="20"/>
        </w:rPr>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Aldo Aranda</w:t>
      </w:r>
      <w:r>
        <w:rPr>
          <w:rFonts w:cs="Noto Sans" w:ascii="Noto Sans" w:hAnsi="Noto Sans"/>
        </w:rPr>
        <w:t>, percusiones</w:t>
      </w:r>
    </w:p>
    <w:p>
      <w:pPr>
        <w:pStyle w:val="NoSpacing"/>
        <w:jc w:val="both"/>
        <w:rPr>
          <w:rFonts w:ascii="Noto Sans" w:hAnsi="Noto Sans" w:cs="Noto Sans"/>
        </w:rPr>
      </w:pPr>
      <w:r>
        <w:rPr>
          <w:rFonts w:cs="Noto Sans" w:ascii="Noto Sans" w:hAnsi="Noto Sans"/>
          <w:b/>
          <w:bCs/>
        </w:rPr>
        <w:t>Omán Kaminsky</w:t>
      </w:r>
      <w:r>
        <w:rPr>
          <w:rFonts w:cs="Noto Sans" w:ascii="Noto Sans" w:hAnsi="Noto Sans"/>
        </w:rPr>
        <w:t>, guitarra </w:t>
      </w:r>
    </w:p>
    <w:p>
      <w:pPr>
        <w:pStyle w:val="NoSpacing"/>
        <w:jc w:val="both"/>
        <w:rPr>
          <w:rFonts w:ascii="Noto Sans" w:hAnsi="Noto Sans" w:cs="Noto Sans"/>
        </w:rPr>
      </w:pPr>
      <w:r>
        <w:rPr>
          <w:rFonts w:cs="Noto Sans" w:ascii="Noto Sans" w:hAnsi="Noto Sans"/>
        </w:rPr>
        <w:t>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right"/>
        <w:rPr>
          <w:rFonts w:ascii="Noto Sans" w:hAnsi="Noto Sans" w:cs="Noto Sans"/>
          <w:sz w:val="20"/>
          <w:szCs w:val="20"/>
        </w:rPr>
      </w:pPr>
      <w:r>
        <w:rPr>
          <w:rFonts w:cs="Noto Sans" w:ascii="Noto Sans" w:hAnsi="Noto Sans"/>
          <w:sz w:val="20"/>
          <w:szCs w:val="20"/>
        </w:rPr>
      </w:r>
    </w:p>
    <w:p>
      <w:pPr>
        <w:pStyle w:val="NoSpacing"/>
        <w:jc w:val="right"/>
        <w:rPr/>
      </w:pPr>
      <w:r>
        <w:rPr>
          <w:rFonts w:cs="Noto Sans" w:ascii="Noto Sans" w:hAnsi="Noto Sans"/>
          <w:sz w:val="20"/>
          <w:szCs w:val="20"/>
        </w:rPr>
        <w:t>*Estreno mundial</w:t>
      </w:r>
    </w:p>
    <w:p>
      <w:pPr>
        <w:pStyle w:val="NoSpacing"/>
        <w:jc w:val="right"/>
        <w:rPr>
          <w:rFonts w:ascii="Noto Sans" w:hAnsi="Noto Sans" w:cs="Noto Sans"/>
          <w:sz w:val="20"/>
          <w:szCs w:val="20"/>
        </w:rPr>
      </w:pPr>
      <w:r>
        <w:rPr>
          <w:rFonts w:cs="Noto Sans" w:ascii="Noto Sans" w:hAnsi="Noto Sans"/>
          <w:sz w:val="20"/>
          <w:szCs w:val="20"/>
        </w:rPr>
        <w:t>**Estreno en México</w:t>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Compositores</w:t>
      </w:r>
    </w:p>
    <w:p>
      <w:pPr>
        <w:pStyle w:val="NoSpacing"/>
        <w:jc w:val="both"/>
        <w:rPr>
          <w:rFonts w:ascii="Noto Sans" w:hAnsi="Noto Sans" w:cs="Noto Sans"/>
        </w:rPr>
      </w:pPr>
      <w:r>
        <w:rPr>
          <w:rFonts w:cs="Noto Sans" w:ascii="Noto Sans" w:hAnsi="Noto Sans"/>
          <w:b/>
          <w:bCs/>
        </w:rPr>
        <w:t xml:space="preserve">Iannis Xenakis </w:t>
      </w:r>
      <w:r>
        <w:rPr>
          <w:rFonts w:cs="Noto Sans" w:ascii="Noto Sans" w:hAnsi="Noto Sans"/>
        </w:rPr>
        <w:t>(Rumania, 1922 – Francia, 2001)</w:t>
      </w:r>
    </w:p>
    <w:p>
      <w:pPr>
        <w:pStyle w:val="NoSpacing"/>
        <w:jc w:val="both"/>
        <w:rPr>
          <w:rFonts w:ascii="Noto Sans" w:hAnsi="Noto Sans" w:cs="Noto Sans"/>
        </w:rPr>
      </w:pPr>
      <w:r>
        <w:rPr>
          <w:rFonts w:cs="Noto Sans" w:ascii="Noto Sans" w:hAnsi="Noto Sans"/>
        </w:rPr>
        <w:t xml:space="preserve">Compositor, arquitecto e ingeniero de origen griego naturalizado francés, es una de las figuras más influyentes de la música contemporánea del siglo XX. Estudió ingeniería en Atenas y trabajó con Le Corbusier en París, experiencia que marcó profundamente su pensamiento estructural. Su música se caracteriza por el uso de modelos matemáticos, teorías de probabilidad y procesos estocásticos para organizar el sonido. Obras como </w:t>
      </w:r>
      <w:r>
        <w:rPr>
          <w:rFonts w:cs="Noto Sans" w:ascii="Noto Sans" w:hAnsi="Noto Sans"/>
          <w:i/>
          <w:iCs/>
        </w:rPr>
        <w:t>Metastasis</w:t>
      </w:r>
      <w:r>
        <w:rPr>
          <w:rFonts w:cs="Noto Sans" w:ascii="Noto Sans" w:hAnsi="Noto Sans"/>
        </w:rPr>
        <w:t xml:space="preserve"> y </w:t>
      </w:r>
      <w:r>
        <w:rPr>
          <w:rFonts w:cs="Noto Sans" w:ascii="Noto Sans" w:hAnsi="Noto Sans"/>
          <w:i/>
          <w:iCs/>
        </w:rPr>
        <w:t>Pithoprakta</w:t>
      </w:r>
      <w:r>
        <w:rPr>
          <w:rFonts w:cs="Noto Sans" w:ascii="Noto Sans" w:hAnsi="Noto Sans"/>
        </w:rPr>
        <w:t xml:space="preserve"> revolucionaron la concepción del tiempo, la textura y la masa sonora. Su lenguaje combina rigor científico con una intensa fuerza expresiva, explorando la música como fenómeno físico y arquitectónico.</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Rebonds A </w:t>
      </w:r>
      <w:r>
        <w:rPr>
          <w:rFonts w:cs="Noto Sans" w:ascii="Noto Sans" w:hAnsi="Noto Sans"/>
          <w:b/>
          <w:bCs/>
          <w:i w:val="false"/>
          <w:iCs w:val="false"/>
        </w:rPr>
        <w:t>y</w:t>
      </w:r>
      <w:r>
        <w:rPr>
          <w:rFonts w:cs="Noto Sans" w:ascii="Noto Sans" w:hAnsi="Noto Sans"/>
          <w:b/>
          <w:bCs/>
          <w:i/>
          <w:iCs/>
        </w:rPr>
        <w:t xml:space="preserve"> B</w:t>
      </w:r>
    </w:p>
    <w:p>
      <w:pPr>
        <w:pStyle w:val="NoSpacing"/>
        <w:ind w:left="708" w:hanging="0"/>
        <w:jc w:val="both"/>
        <w:rPr>
          <w:rFonts w:ascii="Noto Sans" w:hAnsi="Noto Sans" w:cs="Noto Sans"/>
        </w:rPr>
      </w:pPr>
      <w:r>
        <w:rPr>
          <w:rFonts w:cs="Noto Sans" w:ascii="Noto Sans" w:hAnsi="Noto Sans"/>
        </w:rPr>
        <w:t xml:space="preserve">Es una de las obras más emblemáticas del repertorio para percusión sola del siglo XX. Concebida en dos secciones, </w:t>
      </w:r>
      <w:r>
        <w:rPr>
          <w:rFonts w:cs="Noto Sans" w:ascii="Noto Sans" w:hAnsi="Noto Sans"/>
          <w:i/>
          <w:iCs/>
        </w:rPr>
        <w:t>Rebonds A</w:t>
      </w:r>
      <w:r>
        <w:rPr>
          <w:rFonts w:cs="Noto Sans" w:ascii="Noto Sans" w:hAnsi="Noto Sans"/>
        </w:rPr>
        <w:t xml:space="preserve"> y </w:t>
      </w:r>
      <w:r>
        <w:rPr>
          <w:rFonts w:cs="Noto Sans" w:ascii="Noto Sans" w:hAnsi="Noto Sans"/>
          <w:i/>
          <w:iCs/>
        </w:rPr>
        <w:t>Rebonds B</w:t>
      </w:r>
      <w:r>
        <w:rPr>
          <w:rFonts w:cs="Noto Sans" w:ascii="Noto Sans" w:hAnsi="Noto Sans"/>
        </w:rPr>
        <w:t xml:space="preserve">, la pieza explora la energía del gesto rítmico como elemento estructural fundamental. Xenakis prescinde de una notación tradicional de alturas para centrarse en la articulación, la densidad y la resonancia del sonido. La obra se construye mediante la repetición y transformación de patrones rítmicos, generando una sensación de impulso continuo y acumulación de tensión. El contraste entre instrumentos de parche y de madera permite una rica paleta tímbrica, donde cada ataque adquiere una dimensión casi física. Más que un discurso narrativo, </w:t>
      </w:r>
      <w:r>
        <w:rPr>
          <w:rFonts w:cs="Noto Sans" w:ascii="Noto Sans" w:hAnsi="Noto Sans"/>
          <w:i/>
          <w:iCs/>
        </w:rPr>
        <w:t>Rebonds</w:t>
      </w:r>
      <w:r>
        <w:rPr>
          <w:rFonts w:cs="Noto Sans" w:ascii="Noto Sans" w:hAnsi="Noto Sans"/>
        </w:rPr>
        <w:t xml:space="preserve"> propone una experiencia sonora directa, en la que el intérprete se enfrenta a un desafío de precisión, resistencia y control, convirtiendo la ejecución en un acto de gran intensidad corporal y arquitectónica.</w:t>
      </w:r>
    </w:p>
    <w:p>
      <w:pPr>
        <w:pStyle w:val="NoSpacing"/>
        <w:ind w:left="708" w:hanging="0"/>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Liao Lin Ni</w:t>
      </w:r>
      <w:r>
        <w:rPr>
          <w:rFonts w:cs="Noto Sans" w:ascii="Noto Sans" w:hAnsi="Noto Sans"/>
        </w:rPr>
        <w:t xml:space="preserve"> (Taiwán, 1970)</w:t>
      </w:r>
    </w:p>
    <w:p>
      <w:pPr>
        <w:pStyle w:val="NoSpacing"/>
        <w:jc w:val="both"/>
        <w:rPr>
          <w:rFonts w:ascii="Noto Sans" w:hAnsi="Noto Sans" w:cs="Noto Sans"/>
        </w:rPr>
      </w:pPr>
      <w:r>
        <w:rPr>
          <w:rFonts w:cs="Noto Sans" w:ascii="Noto Sans" w:hAnsi="Noto Sans"/>
        </w:rPr>
        <w:t>Compositora que se ha consolidado como una voz destacada en la música contemporánea asiática. Su obra se caracteriza por una refinada exploración del timbre, el silencio y la resonancia, integrando influencias de la estética oriental con técnicas extendidas y lenguajes contemporáneos occidentales. Su música suele enfocarse en procesos sutiles de transformación sonora, donde pequeños gestos generan atmósferas introspectivas y de gran delicadeza. A través de una escritura precisa y detallada, Liao construye paisajes sonoros que invitan a una escucha atenta, en los que el tiempo se percibe de manera expandida. Su trabajo ha sido interpretado en festivales internacionales, consolidando una presencia creciente dentro del panorama actual de la música contemporánea.</w:t>
      </w:r>
    </w:p>
    <w:p>
      <w:pPr>
        <w:pStyle w:val="NoSpacing"/>
        <w:jc w:val="both"/>
        <w:rPr>
          <w:rFonts w:ascii="Noto Sans" w:hAnsi="Noto Sans" w:cs="Noto Sans"/>
          <w:b/>
          <w:b/>
          <w:bCs/>
          <w:i/>
          <w:i/>
          <w:iCs/>
        </w:rPr>
      </w:pPr>
      <w:r>
        <w:rPr>
          <w:rFonts w:cs="Noto Sans" w:ascii="Noto Sans" w:hAnsi="Noto Sans"/>
          <w:b/>
          <w:bCs/>
          <w:i/>
          <w:iCs/>
        </w:rPr>
      </w:r>
    </w:p>
    <w:p>
      <w:pPr>
        <w:pStyle w:val="NoSpacing"/>
        <w:ind w:left="708" w:hanging="0"/>
        <w:jc w:val="both"/>
        <w:rPr>
          <w:rFonts w:ascii="Noto Sans" w:hAnsi="Noto Sans" w:cs="Noto Sans"/>
          <w:b/>
          <w:b/>
          <w:bCs/>
          <w:i/>
          <w:i/>
          <w:iCs/>
        </w:rPr>
      </w:pPr>
      <w:r>
        <w:rPr>
          <w:rFonts w:cs="Noto Sans" w:ascii="Noto Sans" w:hAnsi="Noto Sans"/>
          <w:b/>
          <w:bCs/>
          <w:i/>
          <w:iCs/>
        </w:rPr>
        <w:t>TTy</w:t>
      </w:r>
    </w:p>
    <w:p>
      <w:pPr>
        <w:pStyle w:val="NoSpacing"/>
        <w:ind w:left="708" w:hanging="0"/>
        <w:jc w:val="both"/>
        <w:rPr>
          <w:rFonts w:ascii="Noto Sans" w:hAnsi="Noto Sans" w:cs="Noto Sans"/>
        </w:rPr>
      </w:pPr>
      <w:r>
        <w:rPr>
          <w:rFonts w:cs="Noto Sans" w:ascii="Noto Sans" w:hAnsi="Noto Sans"/>
        </w:rPr>
        <w:t>Es una obra significativa dentro del repertorio contemporáneo para percusión por su enfoque radicalmente reducido: está escrita para un solo tam-tam, instrumento que la compositora explota en toda su riqueza tímbrica y expresiva. Lejos de limitar el discurso, esta restricción abre un universo sonoro amplio, donde cada gesto adquiere un peso estructural. La compositora desarrolla la pieza a partir de técnicas extendidas, variaciones de ataque, uso del arco, cambios de baquetas y control de la resonancia, generando una gama de colores que transforma continuamente la percepción del instrumento. El tam-tam deja de ser un elemento puntual para convertirse en un espacio sonoro en sí mismo. La obra destaca por su atención al detalle, al silencio y a la evolución microscópica del sonido, consolidándose como un ejemplo refinado de exploración tímbrica y escucha profunda dentro de la música contemporánea.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Gabriela Ortiz</w:t>
      </w:r>
      <w:r>
        <w:rPr>
          <w:rFonts w:cs="Noto Sans" w:ascii="Noto Sans" w:hAnsi="Noto Sans"/>
        </w:rPr>
        <w:t xml:space="preserve"> (México, 1964) </w:t>
      </w:r>
    </w:p>
    <w:p>
      <w:pPr>
        <w:pStyle w:val="NoSpacing"/>
        <w:spacing w:lineRule="auto" w:line="240" w:before="0" w:after="0"/>
        <w:jc w:val="both"/>
        <w:rPr>
          <w:rFonts w:ascii="Noto Sans" w:hAnsi="Noto Sans" w:cs="Noto Sans"/>
          <w:sz w:val="22"/>
          <w:szCs w:val="22"/>
        </w:rPr>
      </w:pP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xml:space="preserve">Compositora mexicana de gran proyección internacional, es una de las figuras más relevantes de la música contemporánea. Su obra se distingue por una fusión vital entre tradiciones mexicanas, ritmos populares y técnicas actuales, con una escritura de gran fuerza rítmica y riqueza tímbrica. Ha recibido importantes reconocimientos, entre ellos el Premio Nacional de Artes y Literatura en México y el Latin Grammy Awards por su álbum </w:t>
      </w:r>
      <w:r>
        <w:rPr>
          <w:rFonts w:eastAsia="Noto Sans" w:cs="Noto Sans" w:ascii="Noto Sans" w:hAnsi="Noto Sans"/>
          <w:b w:val="false"/>
          <w:bCs w:val="false"/>
          <w:i/>
          <w:iCs/>
          <w:caps w:val="false"/>
          <w:smallCaps w:val="false"/>
          <w:color w:val="000000" w:themeColor="text1" w:themeShade="ff" w:themeTint="ff"/>
          <w:sz w:val="22"/>
          <w:szCs w:val="22"/>
          <w:lang w:val="es-MX"/>
        </w:rPr>
        <w:t>Revolución Diamantina</w:t>
      </w:r>
      <w:r>
        <w:rPr>
          <w:rFonts w:eastAsia="Noto Sans" w:cs="Noto Sans" w:ascii="Noto Sans" w:hAnsi="Noto Sans"/>
          <w:b w:val="false"/>
          <w:bCs w:val="false"/>
          <w:i w:val="false"/>
          <w:iCs w:val="false"/>
          <w:caps w:val="false"/>
          <w:smallCaps w:val="false"/>
          <w:color w:val="000000" w:themeColor="text1" w:themeShade="ff" w:themeTint="ff"/>
          <w:sz w:val="22"/>
          <w:szCs w:val="22"/>
          <w:lang w:val="es-MX"/>
        </w:rPr>
        <w:t>. Su música ha sido interpretada por destacadas orquestas y ensambles a nivel mundial, consolidando una voz artística que combina identidad cultural, innovación y proyección global.</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 xml:space="preserve">Atlas Pumas </w:t>
      </w:r>
    </w:p>
    <w:p>
      <w:pPr>
        <w:pStyle w:val="NoSpacing"/>
        <w:ind w:left="708" w:hanging="0"/>
        <w:jc w:val="both"/>
        <w:rPr>
          <w:rFonts w:ascii="Noto Sans" w:hAnsi="Noto Sans" w:cs="Noto Sans"/>
        </w:rPr>
      </w:pPr>
      <w:r>
        <w:rPr>
          <w:rFonts w:cs="Noto Sans" w:ascii="Noto Sans" w:hAnsi="Noto Sans"/>
        </w:rPr>
        <w:t xml:space="preserve">Es una obra para marimba y violín que refleja el lenguaje enérgico y colorido de Gabriela Ortiz, donde convergen elementos de la cultura urbana mexicana y técnicas contemporáneas. El título sugiere una dualidad simbólica: la resistencia y el sostén </w:t>
      </w:r>
      <w:r>
        <w:rPr>
          <w:rFonts w:eastAsia="Liberation Serif" w:cs="Liberation Serif" w:ascii="Liberation Serif" w:hAnsi="Liberation Serif"/>
        </w:rPr>
        <w:t>—</w:t>
      </w:r>
      <w:r>
        <w:rPr>
          <w:rFonts w:cs="Noto Sans" w:ascii="Noto Sans" w:hAnsi="Noto Sans"/>
        </w:rPr>
        <w:t>Atlas</w:t>
      </w:r>
      <w:r>
        <w:rPr>
          <w:rFonts w:eastAsia="Liberation Serif" w:cs="Liberation Serif" w:ascii="Liberation Serif" w:hAnsi="Liberation Serif"/>
        </w:rPr>
        <w:t>—</w:t>
      </w:r>
      <w:r>
        <w:rPr>
          <w:rFonts w:cs="Noto Sans" w:ascii="Noto Sans" w:hAnsi="Noto Sans"/>
        </w:rPr>
        <w:t>, frente a la fuerza, agilidad e identidad colectiva asociada a los Pumas. La pieza se articula a partir de patrones rítmicos incisivos, contrastes de textura y una amplia exploración tímbrica. Ortiz construye un discurso en constante transformación, donde la repetición y la variación generan impulso y tensión. La obra exige gran precisión y presencia escénica, convirtiendo la interpretación en una experiencia física y sonora intensa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Manuel Enríquez </w:t>
      </w:r>
      <w:r>
        <w:rPr>
          <w:rFonts w:cs="Noto Sans" w:ascii="Noto Sans" w:hAnsi="Noto Sans"/>
        </w:rPr>
        <w:t>(México, 1926-1994)</w:t>
      </w:r>
    </w:p>
    <w:p>
      <w:pPr>
        <w:pStyle w:val="NoSpacing"/>
        <w:jc w:val="both"/>
        <w:rPr>
          <w:rFonts w:ascii="Noto Sans" w:hAnsi="Noto Sans" w:cs="Noto Sans"/>
        </w:rPr>
      </w:pPr>
      <w:r>
        <w:rPr>
          <w:rFonts w:cs="Noto Sans" w:ascii="Noto Sans" w:hAnsi="Noto Sans"/>
        </w:rPr>
        <w:t>Originario de Ocotlán, Jalisco, fue una figura fundamental de la vanguardia musical en México. Se formó con Áurea Corona y Miguel Bernal Jiménez, perfeccionándose después en la Juilliard School con Ivan Galamian y Peter Mennin. En 1961, gracias a la beca Guggenheim, incursionó en la música electrónica en Columbia y Princeton bajo la guía de Stefan Wolpe. Como violinista, fue concertino de la Sinfónica de Guadalajara y fundó el célebre Cuarteto México, con el que realizó giras por Europa y América. Su labor docente y administrativa fue vasta: dirigió el Conservatorio Nacional y el Cenidim, donde impulsó la investigación electroacústica y virreinal. En 1979 fundó el Foro Internacional de Música Nueva (que hoy lleva su nombre), espacio vital para la difusión de la creación contemporánea. Distinguido como Creador Emérito y miembro de la Academia de Artes, su legado permanece como pilar de la identidad musical mexicana del siglo XX.</w:t>
      </w:r>
    </w:p>
    <w:p>
      <w:pPr>
        <w:pStyle w:val="NoSpacing"/>
        <w:jc w:val="both"/>
        <w:rPr>
          <w:rFonts w:ascii="Noto Sans" w:hAnsi="Noto Sans" w:cs="Noto Sans"/>
        </w:rPr>
      </w:pPr>
      <w:r>
        <w:rPr>
          <w:rFonts w:cs="Noto Sans" w:ascii="Noto Sans" w:hAnsi="Noto Sans"/>
        </w:rPr>
      </w:r>
    </w:p>
    <w:p>
      <w:pPr>
        <w:pStyle w:val="NoSpacing"/>
        <w:ind w:firstLine="708"/>
        <w:jc w:val="both"/>
        <w:rPr>
          <w:rFonts w:ascii="Noto Sans" w:hAnsi="Noto Sans" w:cs="Noto Sans"/>
          <w:b/>
          <w:b/>
          <w:bCs/>
          <w:i/>
          <w:i/>
          <w:iCs/>
        </w:rPr>
      </w:pPr>
      <w:r>
        <w:rPr>
          <w:rFonts w:cs="Noto Sans" w:ascii="Noto Sans" w:hAnsi="Noto Sans"/>
          <w:b/>
          <w:bCs/>
          <w:i/>
          <w:iCs/>
        </w:rPr>
        <w:t>Canto a un dios mineral</w:t>
      </w:r>
    </w:p>
    <w:p>
      <w:pPr>
        <w:pStyle w:val="NoSpacing"/>
        <w:ind w:left="708" w:hanging="0"/>
        <w:jc w:val="both"/>
        <w:rPr>
          <w:rFonts w:ascii="Noto Sans" w:hAnsi="Noto Sans" w:cs="Noto Sans"/>
        </w:rPr>
      </w:pPr>
      <w:r>
        <w:rPr>
          <w:rFonts w:cs="Noto Sans" w:ascii="Noto Sans" w:hAnsi="Noto Sans"/>
        </w:rPr>
        <w:t xml:space="preserve">Es una obra para percusión sola que encarna la búsqueda sonora y experimental de Manuel Enríquez dentro de la música contemporánea mexicana. La pieza se construye como </w:t>
      </w:r>
      <w:r>
        <w:rPr>
          <w:rFonts w:cs="Noto Sans" w:ascii="Noto Sans" w:hAnsi="Noto Sans"/>
        </w:rPr>
        <w:t xml:space="preserve">un homenaje a Jorge Cuesta, autor del poema del mismo título, y </w:t>
      </w:r>
      <w:r>
        <w:rPr>
          <w:rFonts w:cs="Noto Sans" w:ascii="Noto Sans" w:hAnsi="Noto Sans"/>
        </w:rPr>
        <w:t xml:space="preserve">una exploración del sonido en su estado más esencial, donde la materia </w:t>
      </w:r>
      <w:r>
        <w:rPr>
          <w:rFonts w:eastAsia="Liberation Serif" w:cs="Liberation Serif" w:ascii="Liberation Serif" w:hAnsi="Liberation Serif"/>
        </w:rPr>
        <w:t>—</w:t>
      </w:r>
      <w:r>
        <w:rPr>
          <w:rFonts w:cs="Noto Sans" w:ascii="Noto Sans" w:hAnsi="Noto Sans"/>
        </w:rPr>
        <w:t>la madera, el metal y la piel</w:t>
      </w:r>
      <w:r>
        <w:rPr>
          <w:rFonts w:eastAsia="Liberation Serif" w:cs="Liberation Serif" w:ascii="Liberation Serif" w:hAnsi="Liberation Serif"/>
        </w:rPr>
        <w:t>—</w:t>
      </w:r>
      <w:r>
        <w:rPr>
          <w:rFonts w:cs="Noto Sans" w:ascii="Noto Sans" w:hAnsi="Noto Sans"/>
        </w:rPr>
        <w:t xml:space="preserve"> adquiere un carácter casi ritual y simbólico. A través de contrastes de timbre, dinámicas extremas y el uso de técnicas extendidas, Enríquez genera un discurso fragmentado, pero profundamente expresivo. El título sugiere una dimensión poética: un canto dirigido a lo inerte, a lo mineral, donde el intérprete actúa como mediador entre el gesto humano y la resonancia de los materiales. La obra exige gran sensibilidad en el manejo del color y el silencio, construyendo un paisaje sonoro que oscila entre lo primitivo y lo abstracto, en una experiencia introspectiva y de intensa presencia física.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Políptico</w:t>
      </w:r>
      <w:r>
        <w:rPr>
          <w:rFonts w:cs="Noto Sans" w:ascii="Noto Sans" w:hAnsi="Noto Sans"/>
        </w:rPr>
        <w:t xml:space="preserve"> </w:t>
      </w:r>
    </w:p>
    <w:p>
      <w:pPr>
        <w:pStyle w:val="NoSpacing"/>
        <w:ind w:left="708" w:hanging="0"/>
        <w:jc w:val="both"/>
        <w:rPr>
          <w:rFonts w:ascii="Noto Sans" w:hAnsi="Noto Sans" w:cs="Noto Sans"/>
        </w:rPr>
      </w:pPr>
      <w:r>
        <w:rPr>
          <w:rFonts w:cs="Noto Sans" w:ascii="Noto Sans" w:hAnsi="Noto Sans"/>
        </w:rPr>
        <w:t>La obra refleja el interés del Enríquez por la exploración tímbrica, la fragmentación del discurso musical y la construcción de formas abiertas. Su título remite a una obra compuesta por múltiples paneles, idea que se traduce en una estructura articulada en secciones contrastantes que funcionan como unidades relativamente autónomas, generando un discurso no lineal en el que la continuidad surge a partir del contraste. A través del uso de técnicas extendidas, variaciones en la densidad y un cuidadoso trabajo de textura, Enríquez construye un espacio sonoro en constante transformación, donde el silencio y la resonancia adquieren un papel estructural. La obra propone así una experiencia de escucha activa, invitando al oyente a recorrer sus distintos planos y establecer relaciones propias entre los fragmentos.</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Nicolaus A. Huber</w:t>
      </w:r>
      <w:r>
        <w:rPr>
          <w:rFonts w:cs="Noto Sans" w:ascii="Noto Sans" w:hAnsi="Noto Sans"/>
        </w:rPr>
        <w:t xml:space="preserve"> (Alemania, 1939)</w:t>
      </w:r>
    </w:p>
    <w:p>
      <w:pPr>
        <w:pStyle w:val="NoSpacing"/>
        <w:jc w:val="both"/>
        <w:rPr>
          <w:rFonts w:ascii="Noto Sans" w:hAnsi="Noto Sans" w:cs="Noto Sans"/>
        </w:rPr>
      </w:pPr>
      <w:r>
        <w:rPr>
          <w:rFonts w:cs="Noto Sans" w:ascii="Noto Sans" w:hAnsi="Noto Sans"/>
        </w:rPr>
        <w:t>Nació en Passau. De 1958 a 1962 estudió educación musical en la Hochschule für Musik und Theatre München y posteriormente composición con Franz Xaver Lehner y Günter Bialas. Continuó su formación con Josef Anton Riedl, Karlheinz Stockhausen y, sobre todo, con Luigi Nono. Desde 1974 hasta su jubilación en 2003, Huber fue profesor de composición en la Folkwang Hochschule de Essen.</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i/>
          <w:iCs/>
        </w:rPr>
        <w:t>Dasselbe ist nicht dasselbe</w:t>
      </w:r>
      <w:r>
        <w:rPr>
          <w:rFonts w:cs="Noto Sans" w:ascii="Noto Sans" w:hAnsi="Noto Sans"/>
          <w:b/>
          <w:bCs/>
        </w:rPr>
        <w:t xml:space="preserve"> </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Mi composición para tambor constituye una contraparte de mi serie de piezas rítmicas, </w:t>
      </w:r>
      <w:r>
        <w:rPr>
          <w:rFonts w:cs="Noto Sans" w:ascii="Noto Sans" w:hAnsi="Noto Sans"/>
          <w:i/>
          <w:iCs/>
        </w:rPr>
        <w:t>Darabukka</w:t>
      </w:r>
      <w:r>
        <w:rPr>
          <w:rFonts w:cs="Noto Sans" w:ascii="Noto Sans" w:hAnsi="Noto Sans"/>
        </w:rPr>
        <w:t xml:space="preserve"> para piano o </w:t>
      </w:r>
      <w:r>
        <w:rPr>
          <w:rFonts w:cs="Noto Sans" w:ascii="Noto Sans" w:hAnsi="Noto Sans"/>
          <w:i/>
          <w:iCs/>
        </w:rPr>
        <w:t>Morgenlied</w:t>
      </w:r>
      <w:r>
        <w:rPr>
          <w:rFonts w:cs="Noto Sans" w:ascii="Noto Sans" w:hAnsi="Noto Sans"/>
        </w:rPr>
        <w:t xml:space="preserve"> para gran orquesta. El contraste interno se sustituye por la tensión entre los distintos usos del tambor y un número relativamente grande de elementos interpretativos invariables. Aunque el tambor se desarrolló a principios del siglo XIX, tiene sus raíces en una antigua y diversa cultura percusiva. Los aspectos técnicos de esta composición se basan en diversos aspectos de esta rica cultura, tanto en las costumbres sociales como en la variedad de técnicas y expresiones interpretativas. Sin embargo, la pieza no se limita a citar, eso sería ahistórico, sino todo lo contrario: lo moderno y progresista, en la medida en que lo observo en nuestro entorno social, es bastante evidente, pues, como indica el título de la pieza, “lo mismo no es lo mismo”.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Manuel Enriquez </w:t>
      </w:r>
      <w:r>
        <w:rPr>
          <w:rFonts w:cs="Noto Sans" w:ascii="Noto Sans" w:hAnsi="Noto Sans"/>
        </w:rPr>
        <w:t>(México, 1926-1994)</w:t>
      </w:r>
    </w:p>
    <w:p>
      <w:pPr>
        <w:pStyle w:val="NoSpacing"/>
        <w:jc w:val="both"/>
        <w:rPr>
          <w:rFonts w:ascii="Noto Sans" w:hAnsi="Noto Sans" w:cs="Noto Sans"/>
        </w:rPr>
      </w:pPr>
      <w:r>
        <w:rPr>
          <w:rFonts w:cs="Noto Sans" w:ascii="Noto Sans" w:hAnsi="Noto Sans"/>
        </w:rPr>
        <w:t>Compositor, violinista y director mexicano, es una figura central en el desarrollo de la música contemporánea en México. Formado en el Conservatorio Nacional de Música y posteriormente en la Juilliard School de Nueva York, fue un impulsor clave de nuevas estéticas sonoras en la segunda mitad del siglo XX. Su obra explora la atonalidad, las técnicas extendidas y la experimentación tímbrica, consolidando un lenguaje personal de gran rigor y expresividad. Enríquez también desempeñó un papel fundamental como promotor cultural, destacando como fundador del Foro Internacional de Música Nueva que lleva su nombre, espacio dedicado a la difusión de la creación contemporánea. En el marco de su centenario, su legado adquiere renovada relevancia, reafirmando su influencia en generaciones posteriores de compositores y en la consolidación de la música nueva en México.</w:t>
      </w:r>
    </w:p>
    <w:p>
      <w:pPr>
        <w:pStyle w:val="NoSpacing"/>
        <w:jc w:val="both"/>
        <w:rPr>
          <w:rFonts w:ascii="Noto Sans" w:hAnsi="Noto Sans" w:cs="Noto Sans"/>
        </w:rPr>
      </w:pPr>
      <w:r>
        <w:rPr/>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rPr>
      </w:pPr>
      <w:r>
        <w:rPr>
          <w:rFonts w:cs="Noto Sans" w:ascii="Noto Sans" w:hAnsi="Noto Sans"/>
          <w:b/>
          <w:bCs/>
          <w:i/>
          <w:iCs/>
        </w:rPr>
        <w:t>Interecos, para la puerta de Ángela Gurría</w:t>
      </w:r>
    </w:p>
    <w:p>
      <w:pPr>
        <w:pStyle w:val="NoSpacing"/>
        <w:ind w:left="708" w:hanging="0"/>
        <w:jc w:val="both"/>
        <w:rPr>
          <w:rFonts w:ascii="Noto Sans" w:hAnsi="Noto Sans" w:cs="Noto Sans"/>
        </w:rPr>
      </w:pPr>
      <w:r>
        <w:rPr>
          <w:rFonts w:cs="Noto Sans" w:ascii="Noto Sans" w:hAnsi="Noto Sans"/>
        </w:rPr>
        <w:t xml:space="preserve">La composición de esta obra le fue propuesta a Manuel Enríquez por Federico Silva, quien previamente había invitado a la escultora mexicana Ángela Gurría a realizar la obra monumental </w:t>
      </w:r>
      <w:r>
        <w:rPr>
          <w:rFonts w:cs="Noto Sans" w:ascii="Noto Sans" w:hAnsi="Noto Sans"/>
          <w:i/>
          <w:iCs/>
        </w:rPr>
        <w:t>Puerta-escultura</w:t>
      </w:r>
      <w:r>
        <w:rPr>
          <w:rFonts w:cs="Noto Sans" w:ascii="Noto Sans" w:hAnsi="Noto Sans"/>
        </w:rPr>
        <w:t xml:space="preserve"> (1983), una pieza formada por placas de hierro con puntas que se despliegan con potencia y agresividad y que genera una sensación de impenetrabilidad para la Capilla de la Ex Hacienda de San Andrés. En la obra musical la escultura de Gurría se usa como un instrumento más de percusión, acompañado de sonidos electrónicos grabados en cinta. La obra </w:t>
      </w:r>
      <w:r>
        <w:rPr>
          <w:rFonts w:cs="Noto Sans" w:ascii="Noto Sans" w:hAnsi="Noto Sans"/>
        </w:rPr>
        <w:t>se</w:t>
      </w:r>
      <w:r>
        <w:rPr>
          <w:rFonts w:cs="Noto Sans" w:ascii="Noto Sans" w:hAnsi="Noto Sans"/>
        </w:rPr>
        <w:t xml:space="preserve"> estrenó durante la inauguración de la Capilla en 1983, donde también se encuentra el mural </w:t>
      </w:r>
      <w:r>
        <w:rPr>
          <w:rFonts w:cs="Noto Sans" w:ascii="Noto Sans" w:hAnsi="Noto Sans"/>
          <w:i/>
          <w:iCs/>
        </w:rPr>
        <w:t>Anunciación</w:t>
      </w:r>
      <w:r>
        <w:rPr>
          <w:rFonts w:cs="Noto Sans" w:ascii="Noto Sans" w:hAnsi="Noto Sans"/>
        </w:rPr>
        <w:t xml:space="preserve"> de Federico Silva, que tenía el propósito de “transformar la naturaleza clerical del edificio en un espacio dedicado a las artes, despojándolo de sus elementos religiosos”. </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Bruce Hamilton</w:t>
      </w:r>
      <w:r>
        <w:rPr>
          <w:rFonts w:cs="Noto Sans" w:ascii="Noto Sans" w:hAnsi="Noto Sans"/>
        </w:rPr>
        <w:t xml:space="preserve"> (Estados Unidos, 1966)</w:t>
      </w:r>
    </w:p>
    <w:p>
      <w:pPr>
        <w:pStyle w:val="NoSpacing"/>
        <w:jc w:val="both"/>
        <w:rPr>
          <w:rFonts w:ascii="Noto Sans" w:hAnsi="Noto Sans" w:cs="Noto Sans"/>
        </w:rPr>
      </w:pPr>
      <w:r>
        <w:rPr>
          <w:rFonts w:cs="Noto Sans" w:ascii="Noto Sans" w:hAnsi="Noto Sans"/>
        </w:rPr>
        <w:t>Nativo de Filadelfia, compone e interpreta música de diversos géneros. Lleva más de treinta y cinco años desempeñándose como percusionista, improvisador y músico electrónico. Su música está publicada por Non Sequitur Music y se puede escuchar en los sellos Albany, Amaranth, OAR, black circle, Capstone, Aural Films, Ilse, [ink | fuel], Linear Obsessional, Memex, Phill, SEAMUS, Spectropol, split-notes, Three Legs Duck y Mark. Su obra creativa es ecléctica; explora múltiples estilos e híbridos de géneros. Ha recibido honores, premios y encargos de ALEA III, AMC, ASCAP, PAS, Barlow Endowment, Carbondale Community Arts, Indiana University, Jerome Foundation, National Society of Arts and Letters, Pittsburgh New Music Ensemble, Exit 9, Whatcom Symphony, Russolo-Pratella Foundation y SEAMUS. Entre las presentaciones recientes de su música se incluyen las realizadas en NYCEMF, NWEAMO, ICMC, Friends of Rain y Electronic Music Midwest.</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Interzones</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Esta obra fue comisionada por el percusionista Timothy Adams y terminada en 1996 en el Center for Electronic and Computer Music </w:t>
      </w:r>
      <w:r>
        <w:rPr>
          <w:rFonts w:cs="Noto Sans" w:ascii="Noto Sans" w:hAnsi="Noto Sans"/>
        </w:rPr>
        <w:t>de</w:t>
      </w:r>
      <w:r>
        <w:rPr>
          <w:rFonts w:cs="Noto Sans" w:ascii="Noto Sans" w:hAnsi="Noto Sans"/>
        </w:rPr>
        <w:t xml:space="preserve"> la Universidad de Indiana. Muestras de guitarra, saxofón, tarola y vibráfono fueron manipulad</w:t>
      </w:r>
      <w:r>
        <w:rPr>
          <w:rFonts w:cs="Noto Sans" w:ascii="Noto Sans" w:hAnsi="Noto Sans"/>
        </w:rPr>
        <w:t>a</w:t>
      </w:r>
      <w:r>
        <w:rPr>
          <w:rFonts w:cs="Noto Sans" w:ascii="Noto Sans" w:hAnsi="Noto Sans"/>
        </w:rPr>
        <w:t xml:space="preserve">s con el software de edición Sound Hack and Sound Designer. Estos sonidos, junto con otros de la biblioteca del Centro antes mencionado, </w:t>
      </w:r>
      <w:r>
        <w:rPr>
          <w:rFonts w:cs="Noto Sans" w:ascii="Noto Sans" w:hAnsi="Noto Sans"/>
        </w:rPr>
        <w:t>se</w:t>
      </w:r>
      <w:r>
        <w:rPr>
          <w:rFonts w:cs="Noto Sans" w:ascii="Noto Sans" w:hAnsi="Noto Sans"/>
        </w:rPr>
        <w:t xml:space="preserve"> secuencia</w:t>
      </w:r>
      <w:r>
        <w:rPr>
          <w:rFonts w:cs="Noto Sans" w:ascii="Noto Sans" w:hAnsi="Noto Sans"/>
        </w:rPr>
        <w:t>ron</w:t>
      </w:r>
      <w:r>
        <w:rPr>
          <w:rFonts w:cs="Noto Sans" w:ascii="Noto Sans" w:hAnsi="Noto Sans"/>
        </w:rPr>
        <w:t xml:space="preserve"> utilizando Digital Performer para crear la cinta. Las muchas diferentes secciones de la pieza pueden ser descritas como variaciones, pero prefiero pensarlas como diferentes escenas o zonas musicales. Aunque la pieza es esencialmente abstracta, muchos sonidos y gestos dentro de estas zonas evocan imágenes surreales para mí. En general, es evidente la influencia del jazz que se escucha en todo momento y que parecía apropiada dada la rica historia del vibráfono en la tradición jazzí</w:t>
      </w:r>
      <w:r>
        <w:rPr>
          <w:rFonts w:cs="Noto Sans" w:ascii="Noto Sans" w:hAnsi="Noto Sans"/>
        </w:rPr>
        <w:t>stica”</w:t>
      </w:r>
      <w:r>
        <w:rPr>
          <w:rFonts w:cs="Noto Sans" w:ascii="Noto Sans" w:hAnsi="Noto Sans"/>
        </w:rPr>
        <w:t>.</w:t>
      </w:r>
    </w:p>
    <w:p>
      <w:pPr>
        <w:pStyle w:val="NoSpacing"/>
        <w:jc w:val="both"/>
        <w:rPr>
          <w:rFonts w:ascii="Noto Sans" w:hAnsi="Noto Sans" w:cs="Noto Sans"/>
          <w:b/>
          <w:b/>
          <w:bCs/>
        </w:rPr>
      </w:pPr>
      <w:r>
        <w:rPr>
          <w:rFonts w:cs="Noto Sans" w:ascii="Noto Sans" w:hAnsi="Noto Sans"/>
          <w:b/>
          <w:bCs/>
        </w:rPr>
      </w:r>
    </w:p>
    <w:p>
      <w:pPr>
        <w:pStyle w:val="NoSpacing"/>
        <w:jc w:val="both"/>
        <w:rPr>
          <w:rFonts w:ascii="Noto Sans" w:hAnsi="Noto Sans" w:cs="Noto Sans"/>
        </w:rPr>
      </w:pPr>
      <w:r>
        <w:rPr>
          <w:rFonts w:cs="Noto Sans" w:ascii="Noto Sans" w:hAnsi="Noto Sans"/>
          <w:b/>
          <w:bCs/>
        </w:rPr>
        <w:t xml:space="preserve">Kaija Saariaho </w:t>
      </w:r>
      <w:r>
        <w:rPr>
          <w:rFonts w:cs="Noto Sans" w:ascii="Noto Sans" w:hAnsi="Noto Sans"/>
        </w:rPr>
        <w:t>(Finlandia, 1952 – Francia, 2023)</w:t>
      </w:r>
    </w:p>
    <w:p>
      <w:pPr>
        <w:pStyle w:val="NoSpacing"/>
        <w:jc w:val="both"/>
        <w:rPr>
          <w:rFonts w:ascii="Noto Sans" w:hAnsi="Noto Sans" w:cs="Noto Sans"/>
        </w:rPr>
      </w:pPr>
      <w:r>
        <w:rPr>
          <w:rFonts w:cs="Noto Sans" w:ascii="Noto Sans" w:hAnsi="Noto Sans"/>
        </w:rPr>
        <w:t xml:space="preserve">Fue una voz destacada de su generación de compositores, tanto en su país natal como en el mundo </w:t>
      </w:r>
      <w:r>
        <w:rPr>
          <w:rFonts w:cs="Noto Sans" w:ascii="Noto Sans" w:hAnsi="Noto Sans"/>
        </w:rPr>
        <w:t>entero</w:t>
      </w:r>
      <w:r>
        <w:rPr>
          <w:rFonts w:cs="Noto Sans" w:ascii="Noto Sans" w:hAnsi="Noto Sans"/>
        </w:rPr>
        <w:t>. Estudió composición en Helsinki, Friburgo y París, donde residió desde 1982 hasta su muerte. Sus estudios e investigaciones en el IRCAM, el centro parisino de experimentación electroacústica, tuvieron una gran influencia en su música, y sus características texturas exuberantes y misteriosas se crearon a menudo combinando la interpretación en vivo con la electrónica. Expandió gradualmente su expresión musical a una gran variedad de géneros, y sus piezas de cámara y música coral se han convertido en piezas clave de conjuntos instrumentales y vocales, respectivamente.</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rPr>
      </w:pPr>
      <w:r>
        <w:rPr>
          <w:rFonts w:cs="Noto Sans" w:ascii="Noto Sans" w:hAnsi="Noto Sans"/>
          <w:b/>
          <w:bCs/>
          <w:i/>
          <w:iCs/>
        </w:rPr>
        <w:t>Six Japanese Gardens</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Es una colección de impresiones de los jardines que vi en Kioto durante mi estancia en Japón en el verano de 1993 y mis reflexiones sobre el ritmo en aquel entonces. La pieza se divide en seis partes. Cada una de ellas ofrece una perspectiva específica del material rítmico, desde la primera parte, más sencilla, donde se introduce la instrumentación principal, hasta figuras polirrítmicas o de </w:t>
      </w:r>
      <w:r>
        <w:rPr>
          <w:rFonts w:cs="Noto Sans" w:ascii="Noto Sans" w:hAnsi="Noto Sans"/>
          <w:i/>
          <w:iCs/>
        </w:rPr>
        <w:t>ostinato</w:t>
      </w:r>
      <w:r>
        <w:rPr>
          <w:rFonts w:cs="Noto Sans" w:ascii="Noto Sans" w:hAnsi="Noto Sans"/>
          <w:i w:val="false"/>
          <w:iCs w:val="false"/>
        </w:rPr>
        <w:t xml:space="preserve"> </w:t>
      </w:r>
      <w:r>
        <w:rPr>
          <w:rFonts w:cs="Noto Sans" w:ascii="Noto Sans" w:hAnsi="Noto Sans"/>
        </w:rPr>
        <w:t>complejas, o la alternancia de material rítmico y puramente colorístico. La selección de instrumentos interpretados por el percusionista se reduce voluntariamente para dar espacio a la percepción de las evoluciones rítmicas. Además, la paleta sonora reducida se amplía con la adición de una parte electrónica, en la que escuchamos sonidos de la naturaleza, cantos rituales e instrumentos de percusión grabados en el Conservatorio de Música de Kuntachi con Shinti Ueno. La pieza fue encargada por el Conservatorio de Música de Kunitachi y escrita para Shinti Ueno”.</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Gene Koshinski </w:t>
      </w:r>
      <w:r>
        <w:rPr>
          <w:rFonts w:cs="Noto Sans" w:ascii="Noto Sans" w:hAnsi="Noto Sans"/>
        </w:rPr>
        <w:t>(Estados Unidos, 1935)</w:t>
      </w:r>
    </w:p>
    <w:p>
      <w:pPr>
        <w:pStyle w:val="NoSpacing"/>
        <w:jc w:val="both"/>
        <w:rPr>
          <w:rFonts w:ascii="Noto Sans" w:hAnsi="Noto Sans" w:cs="Noto Sans"/>
        </w:rPr>
      </w:pPr>
      <w:r>
        <w:rPr>
          <w:rFonts w:cs="Noto Sans" w:ascii="Noto Sans" w:hAnsi="Noto Sans"/>
        </w:rPr>
        <w:t xml:space="preserve">Conocido por su extraordinaria versatilidad, se ha presentado en Argentina, Austria, Bélgica, Brasil, China, República Checa, Francia, Alemania, Japón, Jordania, Países Bajos, Noruega, Eslovenia, España, Suecia, Reino Unido, Canadá y Estados Unidos; </w:t>
      </w:r>
      <w:r>
        <w:rPr>
          <w:rFonts w:cs="Noto Sans" w:ascii="Noto Sans" w:hAnsi="Noto Sans"/>
        </w:rPr>
        <w:t>con</w:t>
      </w:r>
      <w:r>
        <w:rPr>
          <w:rFonts w:cs="Noto Sans" w:ascii="Noto Sans" w:hAnsi="Noto Sans"/>
        </w:rPr>
        <w:t xml:space="preserve"> más de doscientas presentaciones y conferencias como invitado en algunas de las instituciones más prestigiadas del mundo. Gracias a su enfoque en la creación de contenido audiovisual de alta calidad, su audiencia digital ha superado los cuatro millones de espectadores. Como compositor, sus obras se han utilizado en televisión, cine, museos de arte y producciones de ballet, y en salas de concierto se han interpretado en más de cuarenta países en cinco continentes, con cientos de presentaciones al año. </w:t>
      </w:r>
    </w:p>
    <w:p>
      <w:pPr>
        <w:pStyle w:val="NoSpacing"/>
        <w:jc w:val="both"/>
        <w:rPr>
          <w:rFonts w:ascii="Noto Sans" w:hAnsi="Noto Sans" w:cs="Noto Sans"/>
        </w:rPr>
      </w:pPr>
      <w:r>
        <w:rPr>
          <w:rFonts w:cs="Noto Sans" w:ascii="Noto Sans" w:hAnsi="Noto Sans"/>
        </w:rPr>
      </w:r>
    </w:p>
    <w:p>
      <w:pPr>
        <w:pStyle w:val="NoSpacing"/>
        <w:ind w:firstLine="708"/>
        <w:jc w:val="both"/>
        <w:rPr>
          <w:rFonts w:ascii="Noto Sans" w:hAnsi="Noto Sans" w:cs="Noto Sans"/>
          <w:b/>
          <w:b/>
          <w:bCs/>
          <w:i/>
          <w:i/>
          <w:iCs/>
        </w:rPr>
      </w:pPr>
      <w:r>
        <w:rPr>
          <w:rFonts w:cs="Noto Sans" w:ascii="Noto Sans" w:hAnsi="Noto Sans"/>
          <w:b/>
          <w:bCs/>
          <w:i/>
          <w:iCs/>
        </w:rPr>
        <w:t>Killjoy</w:t>
      </w:r>
    </w:p>
    <w:p>
      <w:pPr>
        <w:pStyle w:val="NoSpacing"/>
        <w:ind w:left="708" w:hanging="0"/>
        <w:jc w:val="both"/>
        <w:rPr>
          <w:rFonts w:ascii="Noto Sans" w:hAnsi="Noto Sans" w:cs="Noto Sans"/>
        </w:rPr>
      </w:pPr>
      <w:r>
        <w:rPr>
          <w:rFonts w:cs="Noto Sans" w:ascii="Noto Sans" w:hAnsi="Noto Sans"/>
        </w:rPr>
        <w:t>“</w:t>
      </w:r>
      <w:r>
        <w:rPr>
          <w:rFonts w:cs="Noto Sans" w:ascii="Noto Sans" w:hAnsi="Noto Sans"/>
        </w:rPr>
        <w:t xml:space="preserve">Cuando Zane Forshee se acercó a mí para componer esta pieza, me pidió que basara el trabajo en </w:t>
      </w:r>
      <w:r>
        <w:rPr>
          <w:rFonts w:cs="Noto Sans" w:ascii="Noto Sans" w:hAnsi="Noto Sans"/>
        </w:rPr>
        <w:t xml:space="preserve">algún </w:t>
      </w:r>
      <w:r>
        <w:rPr>
          <w:rFonts w:cs="Noto Sans" w:ascii="Noto Sans" w:hAnsi="Noto Sans"/>
        </w:rPr>
        <w:t xml:space="preserve">material o idea(s) extraída(s) de un libro u otra forma de literatura. Me pareció apropiado elegir una historia infantil debido a su nuevo papel como padre. Esto me llevó a la historia de </w:t>
      </w:r>
      <w:r>
        <w:rPr>
          <w:rFonts w:cs="Noto Sans" w:ascii="Noto Sans" w:hAnsi="Noto Sans"/>
          <w:i/>
          <w:iCs/>
        </w:rPr>
        <w:t>La Cenicienta</w:t>
      </w:r>
      <w:r>
        <w:rPr>
          <w:rFonts w:cs="Noto Sans" w:ascii="Noto Sans" w:hAnsi="Noto Sans"/>
        </w:rPr>
        <w:t xml:space="preserve">, que ha resistido la prueba del tiempo, entreteniendo a niños y adultos por igual, generación tras generación. En el corazón de la historia está la torre del reloj. Cuando el reloj marca la medianoche, termina el tiempo de La Cenicienta en el baile del príncipe y el hechizo mágico de su hada madrina. En la historia, el reloj asume el papel de un antagonista (que, en la vida real, es algo con lo que todos podemos identificarnos). </w:t>
      </w:r>
      <w:r>
        <w:rPr>
          <w:rFonts w:cs="Noto Sans" w:ascii="Noto Sans" w:hAnsi="Noto Sans"/>
          <w:i/>
          <w:iCs/>
        </w:rPr>
        <w:t>Killjoy</w:t>
      </w:r>
      <w:r>
        <w:rPr>
          <w:rFonts w:cs="Noto Sans" w:ascii="Noto Sans" w:hAnsi="Noto Sans"/>
        </w:rPr>
        <w:t xml:space="preserve"> explora los sonidos de los relojes, utilizando su valor musical como punto de partida. En esencia, la obra es una colección de variaciones sobre temas proporcionados por varios relojes donde, en muchos casos, el </w:t>
      </w:r>
      <w:r>
        <w:rPr>
          <w:rFonts w:cs="Noto Sans" w:ascii="Noto Sans" w:hAnsi="Noto Sans"/>
          <w:i/>
          <w:iCs/>
        </w:rPr>
        <w:t>tema</w:t>
      </w:r>
      <w:r>
        <w:rPr>
          <w:rFonts w:cs="Noto Sans" w:ascii="Noto Sans" w:hAnsi="Noto Sans"/>
        </w:rPr>
        <w:t xml:space="preserve"> nunca se declara realmente”.</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 xml:space="preserve">Terry Riley </w:t>
      </w:r>
      <w:r>
        <w:rPr>
          <w:rFonts w:cs="Noto Sans" w:ascii="Noto Sans" w:hAnsi="Noto Sans"/>
        </w:rPr>
        <w:t>(Estados Unidos, 1935)</w:t>
      </w:r>
    </w:p>
    <w:p>
      <w:pPr>
        <w:pStyle w:val="NoSpacing"/>
        <w:jc w:val="both"/>
        <w:rPr>
          <w:rFonts w:ascii="Noto Sans" w:hAnsi="Noto Sans" w:cs="Noto Sans"/>
        </w:rPr>
      </w:pPr>
      <w:r>
        <w:rPr>
          <w:rFonts w:cs="Noto Sans" w:ascii="Noto Sans" w:hAnsi="Noto Sans"/>
        </w:rPr>
        <w:t xml:space="preserve">Estudió en la Universidad Estatal de San Francisco y en el Conservatorio de Música de San Francisco. Más tarde ganó un premio de composición en la Universidad de California en Berkeley. Comenzó con una educación musical formal pero pronto se sintió atraído por la música de John Cage, los experimentos de La Monte Young, las improvisaciones del jazz y la música clásica del norte de </w:t>
      </w:r>
      <w:r>
        <w:rPr>
          <w:rFonts w:cs="Noto Sans" w:ascii="Noto Sans" w:hAnsi="Noto Sans"/>
        </w:rPr>
        <w:t>la</w:t>
      </w:r>
      <w:r>
        <w:rPr>
          <w:rFonts w:cs="Noto Sans" w:ascii="Noto Sans" w:hAnsi="Noto Sans"/>
        </w:rPr>
        <w:t xml:space="preserve"> India. Su influencia más notoria </w:t>
      </w:r>
      <w:r>
        <w:rPr>
          <w:rFonts w:cs="Noto Sans" w:ascii="Noto Sans" w:hAnsi="Noto Sans"/>
        </w:rPr>
        <w:t xml:space="preserve">fue </w:t>
      </w:r>
      <w:r>
        <w:rPr>
          <w:rFonts w:cs="Noto Sans" w:ascii="Noto Sans" w:hAnsi="Noto Sans"/>
        </w:rPr>
        <w:t xml:space="preserve">Pandit Pran Nath, un maestro de música clásica indostaní, que también enseñó a La Monte Young y Maria Zazeela. Viajó numerosas veces a la </w:t>
      </w:r>
      <w:r>
        <w:rPr>
          <w:rFonts w:cs="Noto Sans" w:ascii="Noto Sans" w:hAnsi="Noto Sans"/>
        </w:rPr>
        <w:t xml:space="preserve">la </w:t>
      </w:r>
      <w:r>
        <w:rPr>
          <w:rFonts w:cs="Noto Sans" w:ascii="Noto Sans" w:hAnsi="Noto Sans"/>
        </w:rPr>
        <w:t xml:space="preserve">India para el estudio de la rítmica de varios instrumentos musicales como la tabla, tambura y voz. Su obra más conocida es </w:t>
      </w:r>
      <w:r>
        <w:rPr>
          <w:rFonts w:cs="Noto Sans" w:ascii="Noto Sans" w:hAnsi="Noto Sans"/>
          <w:i/>
          <w:iCs/>
        </w:rPr>
        <w:t>In C</w:t>
      </w:r>
      <w:r>
        <w:rPr>
          <w:rFonts w:cs="Noto Sans" w:ascii="Noto Sans" w:hAnsi="Noto Sans"/>
        </w:rPr>
        <w:t xml:space="preserve"> (en español: El do mayor), compuesta en 1964, donde se revela sobre todo la influencia de su colaboración con La Monte Young y el grupo Fluxus en Nueva York, así como el trabajo que realizó en los estudios de Radio France con grabaciones en cinta. </w:t>
      </w:r>
    </w:p>
    <w:p>
      <w:pPr>
        <w:pStyle w:val="NoSpacing"/>
        <w:jc w:val="both"/>
        <w:rPr>
          <w:rFonts w:ascii="Noto Sans" w:hAnsi="Noto Sans" w:cs="Noto Sans"/>
        </w:rPr>
      </w:pPr>
      <w:r>
        <w:rPr>
          <w:rFonts w:cs="Noto Sans" w:ascii="Noto Sans" w:hAnsi="Noto Sans"/>
        </w:rPr>
      </w:r>
    </w:p>
    <w:p>
      <w:pPr>
        <w:pStyle w:val="NoSpacing"/>
        <w:ind w:left="708" w:hanging="0"/>
        <w:jc w:val="both"/>
        <w:rPr>
          <w:rFonts w:ascii="Noto Sans" w:hAnsi="Noto Sans" w:cs="Noto Sans"/>
          <w:b/>
          <w:b/>
          <w:bCs/>
          <w:i/>
          <w:i/>
          <w:iCs/>
        </w:rPr>
      </w:pPr>
      <w:r>
        <w:rPr>
          <w:rFonts w:cs="Noto Sans" w:ascii="Noto Sans" w:hAnsi="Noto Sans"/>
          <w:b/>
          <w:bCs/>
          <w:i/>
          <w:iCs/>
        </w:rPr>
        <w:t>Días de los Muertos</w:t>
      </w:r>
    </w:p>
    <w:p>
      <w:pPr>
        <w:pStyle w:val="NoSpacing"/>
        <w:ind w:left="708" w:hanging="0"/>
        <w:jc w:val="both"/>
        <w:rPr>
          <w:rFonts w:ascii="Noto Sans" w:hAnsi="Noto Sans" w:cs="Noto Sans"/>
        </w:rPr>
      </w:pPr>
      <w:r>
        <w:rPr>
          <w:rFonts w:cs="Noto Sans" w:ascii="Noto Sans" w:hAnsi="Noto Sans"/>
        </w:rPr>
        <w:t xml:space="preserve">Terry Riley concibió su suite de dos movimientos, </w:t>
      </w:r>
      <w:r>
        <w:rPr>
          <w:rFonts w:cs="Noto Sans" w:ascii="Noto Sans" w:hAnsi="Noto Sans"/>
          <w:i/>
          <w:iCs/>
        </w:rPr>
        <w:t>Días de los Muertos</w:t>
      </w:r>
      <w:r>
        <w:rPr>
          <w:rFonts w:cs="Noto Sans" w:ascii="Noto Sans" w:hAnsi="Noto Sans"/>
        </w:rPr>
        <w:t xml:space="preserve">, como una exploración musical de las formas intempestivas e inesperadas en las que la Muerte se manifiesta. Esta idea se inspiró en un pasaje de los escritos de Carlos Castañeda, en el que Don Juan advierte a Carlos que esté siempre atento a la Muerte, porque siempre está acechando cerca y puede aparecer sin previo aviso. Riley extrapola este concepto a dos escenarios musicales, que son ejecutados por un guitarrista acústico y un percusionista. El primero de los dos movimientos, </w:t>
      </w:r>
      <w:r>
        <w:rPr>
          <w:rFonts w:cs="Noto Sans" w:ascii="Noto Sans" w:hAnsi="Noto Sans"/>
          <w:i/>
          <w:iCs/>
        </w:rPr>
        <w:t>Se aparece la Muerte inocentemente por la tarde</w:t>
      </w:r>
      <w:r>
        <w:rPr>
          <w:rFonts w:cs="Noto Sans" w:ascii="Noto Sans" w:hAnsi="Noto Sans"/>
        </w:rPr>
        <w:t xml:space="preserve">, comienza con la guitarra en una serie de declaraciones figurativas contundentes puntuadas por pequeños platillos. El segundo movimiento, </w:t>
      </w:r>
      <w:r>
        <w:rPr>
          <w:rFonts w:cs="Noto Sans" w:ascii="Noto Sans" w:hAnsi="Noto Sans"/>
          <w:i/>
          <w:iCs/>
        </w:rPr>
        <w:t>La Muerte en medias caladas negras,</w:t>
      </w:r>
      <w:r>
        <w:rPr>
          <w:rFonts w:cs="Noto Sans" w:ascii="Noto Sans" w:hAnsi="Noto Sans"/>
        </w:rPr>
        <w:t xml:space="preserve"> comienza con intercambios misteriosos y a veces tímidos entre la marimba y la guitarra. Suena como un rey de la </w:t>
      </w:r>
      <w:r>
        <w:rPr>
          <w:rFonts w:cs="Noto Sans" w:ascii="Noto Sans" w:hAnsi="Noto Sans"/>
          <w:i w:val="false"/>
          <w:iCs w:val="false"/>
        </w:rPr>
        <w:t>Danza de los Siete Velos</w:t>
      </w:r>
      <w:r>
        <w:rPr>
          <w:rFonts w:cs="Noto Sans" w:ascii="Noto Sans" w:hAnsi="Noto Sans"/>
        </w:rPr>
        <w:t>.</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rPr>
        <w:t>Intérpretes</w:t>
      </w:r>
    </w:p>
    <w:p>
      <w:pPr>
        <w:pStyle w:val="NoSpacing"/>
        <w:jc w:val="both"/>
        <w:rPr>
          <w:rFonts w:ascii="Noto Sans" w:hAnsi="Noto Sans" w:cs="Noto Sans"/>
        </w:rPr>
      </w:pPr>
      <w:r>
        <w:rPr>
          <w:rFonts w:cs="Noto Sans" w:ascii="Noto Sans" w:hAnsi="Noto Sans"/>
          <w:b/>
          <w:bCs/>
        </w:rPr>
        <w:t>Bryan Flores</w:t>
      </w:r>
      <w:r>
        <w:rPr>
          <w:rFonts w:cs="Noto Sans" w:ascii="Noto Sans" w:hAnsi="Noto Sans"/>
        </w:rPr>
        <w:t xml:space="preserve"> </w:t>
      </w:r>
    </w:p>
    <w:p>
      <w:pPr>
        <w:pStyle w:val="NoSpacing"/>
        <w:jc w:val="both"/>
        <w:rPr>
          <w:rFonts w:ascii="Noto Sans" w:hAnsi="Noto Sans" w:cs="Noto Sans"/>
        </w:rPr>
      </w:pPr>
      <w:r>
        <w:rPr>
          <w:rFonts w:cs="Noto Sans" w:ascii="Noto Sans" w:hAnsi="Noto Sans"/>
        </w:rPr>
        <w:t>Percusionista mexicano apasionado por la música nueva. Ha sido ganador de los concursos Tercer Latinoamericano de Marimbistas y de Solistas OFUNAM 2015. Se ha presentado como solista en México, Colombia y Alemania con las orquestas OFUNAM, Filarmónica de Barranquilla y Norddeutsche Philharmonie Rostock. Becario del Fonca en dos ocasiones, ha participado en los festivales Brahms Festival Lübeck e Internacional de Percusión Barranquilla. En 2021 recibió la beca DAAD para cursar un posgrado en la Musikhochschule Lübeck con Johannes Fischer. Ha colaborado con diversas agrupaciones internacionales y nacionales como Philharmonisches Orchester Vorpommern, Neueköllner Oper, Neue Philharmonie Hamburg, Lübecker Kammerorchester, Cepromusic, el flautista Stefan Temmingh y la Orquesta Sinfónica de Minería. En 2021 grabó su primer álbum con apoyo del Fonca. En 2022 fue el primer percusionista en ingresar como solista al programa Live Music Now Deutschland en Lübeck, Alemania. Desde 2024 es miembro residente del Ensamble Cepromusic.</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Fourtissimo Percussion Ensmable</w:t>
      </w:r>
    </w:p>
    <w:p>
      <w:pPr>
        <w:pStyle w:val="NoSpacing"/>
        <w:bidi w:val="0"/>
        <w:spacing w:lineRule="auto" w:line="240" w:beforeAutospacing="0" w:before="0" w:afterAutospacing="0" w:after="0"/>
        <w:ind w:left="0" w:right="0" w:hanging="0"/>
        <w:jc w:val="both"/>
        <w:rPr>
          <w:rFonts w:ascii="Noto Sans" w:hAnsi="Noto Sans" w:cs="Noto Sans"/>
        </w:rPr>
      </w:pPr>
      <w:r>
        <w:rPr>
          <w:rFonts w:cs="Noto Sans" w:ascii="Noto Sans" w:hAnsi="Noto Sans"/>
        </w:rPr>
        <w:t>Surgió en 2015. A lo largo de su trayectoria el grupo ha mantenido como prioridad no solo generar música nueva en colaboración estrecha con compositor</w:t>
      </w:r>
      <w:r>
        <w:rPr>
          <w:rFonts w:cs="Noto Sans" w:ascii="Noto Sans" w:hAnsi="Noto Sans"/>
        </w:rPr>
        <w:t>e</w:t>
      </w:r>
      <w:r>
        <w:rPr>
          <w:rFonts w:cs="Noto Sans" w:ascii="Noto Sans" w:hAnsi="Noto Sans"/>
        </w:rPr>
        <w:t>s viv</w:t>
      </w:r>
      <w:r>
        <w:rPr>
          <w:rFonts w:cs="Noto Sans" w:ascii="Noto Sans" w:hAnsi="Noto Sans"/>
        </w:rPr>
        <w:t>o</w:t>
      </w:r>
      <w:r>
        <w:rPr>
          <w:rFonts w:cs="Noto Sans" w:ascii="Noto Sans" w:hAnsi="Noto Sans"/>
        </w:rPr>
        <w:t>s, sino también la de exportar la música y el trabajo nacional a través de todos los medios posibles. Abordar, exponer y documentar versiones n</w:t>
      </w:r>
      <w:r>
        <w:rPr>
          <w:rFonts w:cs="Noto Sans" w:ascii="Noto Sans" w:hAnsi="Noto Sans"/>
        </w:rPr>
        <w:t>ovedosas</w:t>
      </w:r>
      <w:r>
        <w:rPr>
          <w:rFonts w:cs="Noto Sans" w:ascii="Noto Sans" w:hAnsi="Noto Sans"/>
        </w:rPr>
        <w:t xml:space="preserve"> del repertorio que forma parte de la literatura para percusiones. Bajo estas premisas han estrenado y grabado más de diez obras de compositores mexicanos. Destacan sus presentaciones en el FIMNME, las Jornadas INBAL-SACM, el Festival Internacional Divertimento y Más Cultura IPN. Como solista el ensamble se ha presentado en dos ocasiones con el </w:t>
      </w:r>
      <w:r>
        <w:rPr>
          <w:rFonts w:cs="Noto Sans" w:ascii="Noto Sans" w:hAnsi="Noto Sans"/>
          <w:i/>
          <w:iCs/>
        </w:rPr>
        <w:t>Garbage Concerto</w:t>
      </w:r>
      <w:r>
        <w:rPr>
          <w:rFonts w:cs="Noto Sans" w:ascii="Noto Sans" w:hAnsi="Noto Sans"/>
        </w:rPr>
        <w:t xml:space="preserve"> de Jan Järvlepp, en 2019, con la OJUEM UNAM y en 2024 con la Orquesta Sinfónica del IPN.</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b/>
          <w:b/>
          <w:bCs/>
        </w:rPr>
      </w:pPr>
      <w:r>
        <w:rPr>
          <w:rFonts w:cs="Noto Sans" w:ascii="Noto Sans" w:hAnsi="Noto Sans"/>
          <w:b/>
          <w:bCs/>
        </w:rPr>
        <w:t xml:space="preserve">Abraham Parra Arámburo </w:t>
      </w:r>
    </w:p>
    <w:p>
      <w:pPr>
        <w:pStyle w:val="NoSpacing"/>
        <w:jc w:val="both"/>
        <w:rPr>
          <w:rFonts w:ascii="Noto Sans" w:hAnsi="Noto Sans" w:cs="Noto Sans"/>
        </w:rPr>
      </w:pPr>
      <w:r>
        <w:rPr>
          <w:rFonts w:cs="Noto Sans" w:ascii="Noto Sans" w:hAnsi="Noto Sans"/>
        </w:rPr>
        <w:t xml:space="preserve">Nació en Puebla. Egresado de la Licenciatura en Percusiones en 2014 y en 2020 de la maestría bajo la cátedra de Alfredo Bringas. Fue solista en </w:t>
      </w:r>
      <w:r>
        <w:rPr>
          <w:rFonts w:cs="Noto Sans" w:ascii="Noto Sans" w:hAnsi="Noto Sans"/>
          <w:i/>
          <w:iCs/>
        </w:rPr>
        <w:t>La Orestiada</w:t>
      </w:r>
      <w:r>
        <w:rPr>
          <w:rFonts w:cs="Noto Sans" w:ascii="Noto Sans" w:hAnsi="Noto Sans"/>
        </w:rPr>
        <w:t xml:space="preserve"> de Iannis Xenakis durante el Festival Internacional Cervantino 2022 con el ensamble Cepromusic. Fue seleccionado por dos años consecutivos por la Academia Cervantina en 2014 y 2015, dentro del marco del Festival Internacional Cervantino </w:t>
      </w:r>
      <w:r>
        <w:rPr>
          <w:rFonts w:cs="Noto Sans" w:ascii="Noto Sans" w:hAnsi="Noto Sans"/>
        </w:rPr>
        <w:t>a través de</w:t>
      </w:r>
      <w:r>
        <w:rPr>
          <w:rFonts w:cs="Noto Sans" w:ascii="Noto Sans" w:hAnsi="Noto Sans"/>
        </w:rPr>
        <w:t xml:space="preserve"> diferentes conciertos, entre ellos los realizados con Red Fish Blue Fish en 2014 con la obra </w:t>
      </w:r>
      <w:r>
        <w:rPr>
          <w:rFonts w:cs="Noto Sans" w:ascii="Noto Sans" w:hAnsi="Noto Sans"/>
          <w:i/>
          <w:iCs/>
        </w:rPr>
        <w:t>Drumming</w:t>
      </w:r>
      <w:r>
        <w:rPr>
          <w:rFonts w:cs="Noto Sans" w:ascii="Noto Sans" w:hAnsi="Noto Sans"/>
        </w:rPr>
        <w:t xml:space="preserve"> de Steve Reich y bajo la dirección de Steven Schick y </w:t>
      </w:r>
      <w:r>
        <w:rPr>
          <w:rFonts w:cs="Noto Sans" w:ascii="Noto Sans" w:hAnsi="Noto Sans"/>
          <w:i/>
          <w:iCs/>
        </w:rPr>
        <w:t>Pleiades</w:t>
      </w:r>
      <w:r>
        <w:rPr>
          <w:rFonts w:cs="Noto Sans" w:ascii="Noto Sans" w:hAnsi="Noto Sans"/>
        </w:rPr>
        <w:t xml:space="preserve"> en 2015 de Iannis Xenakis con Aiyun Huang e Iván Manzanilla. Fue profesor de tiempo completo en el Afghanistan National Institute of Music en Kabul en 2016 y 2017. Desde 2018 es músico residente del Ensamble Cepromusic.</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Aldo Aranda</w:t>
      </w:r>
      <w:r>
        <w:rPr>
          <w:rFonts w:cs="Noto Sans" w:ascii="Noto Sans" w:hAnsi="Noto Sans"/>
        </w:rPr>
        <w:t xml:space="preserve"> </w:t>
      </w:r>
    </w:p>
    <w:p>
      <w:pPr>
        <w:pStyle w:val="NoSpacing"/>
        <w:jc w:val="both"/>
        <w:rPr>
          <w:rFonts w:ascii="Noto Sans" w:hAnsi="Noto Sans" w:cs="Noto Sans"/>
        </w:rPr>
      </w:pPr>
      <w:r>
        <w:rPr>
          <w:rFonts w:cs="Noto Sans" w:ascii="Noto Sans" w:hAnsi="Noto Sans"/>
        </w:rPr>
        <w:t>Es un percusionista multifacético y virtuoso de la marimba que concibe la percusión como un lenguaje expandido donde convergen sonido, cuerpo y escena. Su trabajo transita entre el teatro musical contemporáneo, la improvisación, la danza y la tecnología, creando propuestas que desdibujan los límites del concierto tradicional. Paralelamente a su labor interpretativa, desarrolla una intensa actividad pedagógica y ha sido invitado a impartir talleres y conferencias en instituciones internacionales como las universidades de California en San Diego, de Nuevo México, de Música de Bucarest y de Guanajuato. Reconocido por la Secretaría de Cultura como Creador Artístico con Trayectoria, su trabajo se proyecta como un puente entre culturas, generaciones y lenguajes. Actualmente reside en Amberes, donde desarrolla nuevos proyectos interdisciplinarios y su próxima producción discográfica como solista.</w:t>
      </w:r>
    </w:p>
    <w:p>
      <w:pPr>
        <w:pStyle w:val="NoSpacing"/>
        <w:jc w:val="both"/>
        <w:rPr>
          <w:rFonts w:ascii="Noto Sans" w:hAnsi="Noto Sans" w:cs="Noto Sans"/>
        </w:rPr>
      </w:pPr>
      <w:r>
        <w:rPr>
          <w:rFonts w:cs="Noto Sans" w:ascii="Noto Sans" w:hAnsi="Noto Sans"/>
        </w:rPr>
      </w:r>
    </w:p>
    <w:p>
      <w:pPr>
        <w:pStyle w:val="NoSpacing"/>
        <w:jc w:val="both"/>
        <w:rPr>
          <w:rFonts w:ascii="Noto Sans" w:hAnsi="Noto Sans" w:cs="Noto Sans"/>
        </w:rPr>
      </w:pPr>
      <w:r>
        <w:rPr>
          <w:rFonts w:cs="Noto Sans" w:ascii="Noto Sans" w:hAnsi="Noto Sans"/>
          <w:b/>
          <w:bCs/>
        </w:rPr>
        <w:t>Omán Kaminsky</w:t>
      </w:r>
      <w:r>
        <w:rPr>
          <w:rFonts w:cs="Noto Sans" w:ascii="Noto Sans" w:hAnsi="Noto Sans"/>
        </w:rPr>
        <w:t> </w:t>
      </w:r>
    </w:p>
    <w:p>
      <w:pPr>
        <w:pStyle w:val="NoSpacing"/>
        <w:jc w:val="both"/>
        <w:rPr>
          <w:rFonts w:ascii="Noto Sans" w:hAnsi="Noto Sans" w:cs="Noto Sans"/>
        </w:rPr>
      </w:pPr>
      <w:r>
        <w:rPr>
          <w:rFonts w:cs="Noto Sans" w:ascii="Noto Sans" w:hAnsi="Noto Sans"/>
        </w:rPr>
        <w:t>Estudió la Licenciatura en Guitarra en la Escuela Superior de Música del INBAL (ESM). Con apoyo de la beca holandesa HSP Huygens, realizó un posgrado en el Koninklijk Conservatorium de La Haya, especializándose en Guitarra y Música de cámara, y gracias al Programa de Becas para Estudios en el Extranjero del Fonca-Conacyt, estudió una segunda maestría con especialidad en Pedagogía musical en la misma institución. En México ha impartido cátedra de Guitarra en la Facultad de Música de la UNAM, la ESM y la Escuela Vida y Movimiento del Centro Cultural Ollin Yoliztli. Ha participado como solista con importantes orquestas de México y los Países Bajos. Ha sido galardonado con primeros premios en más de treinta concursos internacionales de guitarra en México, Estados Unidos, España, Bélgica, Países Bajos, Alemania, Austria, Bosnia Herzegovina y Serbia. Recientemente le fue concedido el reconocimiento Distinción Universidad Nacional para Jóvenes Académicos. </w:t>
      </w:r>
    </w:p>
    <w:sectPr>
      <w:type w:val="nextPage"/>
      <w:pgSz w:w="12240" w:h="15840"/>
      <w:pgMar w:left="1701" w:right="1701"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Noto Sans">
    <w:charset w:val="01"/>
    <w:family w:val="roman"/>
    <w:pitch w:val="variable"/>
  </w:font>
  <w:font w:name="Liberation Serif">
    <w:altName w:val="Times New Roman"/>
    <w:charset w:val="01"/>
    <w:family w:val="roman"/>
    <w:pitch w:val="default"/>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paragraph" w:styleId="Heading1">
    <w:name w:val="Heading 1"/>
    <w:basedOn w:val="Normal"/>
    <w:next w:val="Normal"/>
    <w:link w:val="Ttulo1Car"/>
    <w:uiPriority w:val="9"/>
    <w:qFormat/>
    <w:rsid w:val="00b328c9"/>
    <w:pPr>
      <w:keepNext w:val="true"/>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next w:val="Normal"/>
    <w:link w:val="Ttulo2Car"/>
    <w:uiPriority w:val="9"/>
    <w:semiHidden/>
    <w:unhideWhenUsed/>
    <w:qFormat/>
    <w:rsid w:val="00b328c9"/>
    <w:pPr>
      <w:keepNext w:val="true"/>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next w:val="Normal"/>
    <w:link w:val="Ttulo3Car"/>
    <w:uiPriority w:val="9"/>
    <w:semiHidden/>
    <w:unhideWhenUsed/>
    <w:qFormat/>
    <w:rsid w:val="00b328c9"/>
    <w:pPr>
      <w:keepNext w:val="true"/>
      <w:keepLines/>
      <w:spacing w:before="160" w:after="80"/>
      <w:outlineLvl w:val="2"/>
    </w:pPr>
    <w:rPr>
      <w:rFonts w:eastAsia="" w:cs="" w:cstheme="majorBidi" w:eastAsiaTheme="majorEastAsia"/>
      <w:color w:val="0F4761" w:themeColor="accent1" w:themeShade="bf"/>
      <w:sz w:val="28"/>
      <w:szCs w:val="28"/>
    </w:rPr>
  </w:style>
  <w:style w:type="paragraph" w:styleId="Heading4">
    <w:name w:val="Heading 4"/>
    <w:basedOn w:val="Normal"/>
    <w:next w:val="Normal"/>
    <w:link w:val="Ttulo4Car"/>
    <w:uiPriority w:val="9"/>
    <w:semiHidden/>
    <w:unhideWhenUsed/>
    <w:qFormat/>
    <w:rsid w:val="00b328c9"/>
    <w:pPr>
      <w:keepNext w:val="true"/>
      <w:keepLines/>
      <w:spacing w:before="80" w:after="40"/>
      <w:outlineLvl w:val="3"/>
    </w:pPr>
    <w:rPr>
      <w:rFonts w:eastAsia="" w:cs="" w:cstheme="majorBidi" w:eastAsiaTheme="majorEastAsia"/>
      <w:i/>
      <w:iCs/>
      <w:color w:val="0F4761" w:themeColor="accent1" w:themeShade="bf"/>
    </w:rPr>
  </w:style>
  <w:style w:type="paragraph" w:styleId="Heading5">
    <w:name w:val="Heading 5"/>
    <w:basedOn w:val="Normal"/>
    <w:next w:val="Normal"/>
    <w:link w:val="Ttulo5Car"/>
    <w:uiPriority w:val="9"/>
    <w:semiHidden/>
    <w:unhideWhenUsed/>
    <w:qFormat/>
    <w:rsid w:val="00b328c9"/>
    <w:pPr>
      <w:keepNext w:val="true"/>
      <w:keepLines/>
      <w:spacing w:before="80" w:after="40"/>
      <w:outlineLvl w:val="4"/>
    </w:pPr>
    <w:rPr>
      <w:rFonts w:eastAsia="" w:cs="" w:cstheme="majorBidi" w:eastAsiaTheme="majorEastAsia"/>
      <w:color w:val="0F4761" w:themeColor="accent1" w:themeShade="bf"/>
    </w:rPr>
  </w:style>
  <w:style w:type="paragraph" w:styleId="Heading6">
    <w:name w:val="Heading 6"/>
    <w:basedOn w:val="Normal"/>
    <w:next w:val="Normal"/>
    <w:link w:val="Ttulo6Car"/>
    <w:uiPriority w:val="9"/>
    <w:semiHidden/>
    <w:unhideWhenUsed/>
    <w:qFormat/>
    <w:rsid w:val="00b328c9"/>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Ttulo7Car"/>
    <w:uiPriority w:val="9"/>
    <w:semiHidden/>
    <w:unhideWhenUsed/>
    <w:qFormat/>
    <w:rsid w:val="00b328c9"/>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Ttulo8Car"/>
    <w:uiPriority w:val="9"/>
    <w:semiHidden/>
    <w:unhideWhenUsed/>
    <w:qFormat/>
    <w:rsid w:val="00b328c9"/>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Ttulo9Car"/>
    <w:uiPriority w:val="9"/>
    <w:semiHidden/>
    <w:unhideWhenUsed/>
    <w:qFormat/>
    <w:rsid w:val="00b328c9"/>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link w:val="Ttulo1"/>
    <w:uiPriority w:val="9"/>
    <w:qFormat/>
    <w:rsid w:val="00b328c9"/>
    <w:rPr>
      <w:rFonts w:ascii="Aptos Display" w:hAnsi="Aptos Display" w:eastAsia="" w:cs="" w:asciiTheme="majorHAnsi" w:cstheme="majorBidi" w:eastAsiaTheme="majorEastAsia" w:hAnsiTheme="majorHAnsi"/>
      <w:color w:val="0F4761" w:themeColor="accent1" w:themeShade="bf"/>
      <w:sz w:val="40"/>
      <w:szCs w:val="40"/>
    </w:rPr>
  </w:style>
  <w:style w:type="character" w:styleId="Ttulo2Car" w:customStyle="1">
    <w:name w:val="Título 2 Car"/>
    <w:basedOn w:val="DefaultParagraphFont"/>
    <w:link w:val="Ttulo2"/>
    <w:uiPriority w:val="9"/>
    <w:semiHidden/>
    <w:qFormat/>
    <w:rsid w:val="00b328c9"/>
    <w:rPr>
      <w:rFonts w:ascii="Aptos Display" w:hAnsi="Aptos Display" w:eastAsia="" w:cs="" w:asciiTheme="majorHAnsi" w:cstheme="majorBidi" w:eastAsiaTheme="majorEastAsia" w:hAnsiTheme="majorHAnsi"/>
      <w:color w:val="0F4761" w:themeColor="accent1" w:themeShade="bf"/>
      <w:sz w:val="32"/>
      <w:szCs w:val="32"/>
    </w:rPr>
  </w:style>
  <w:style w:type="character" w:styleId="Ttulo3Car" w:customStyle="1">
    <w:name w:val="Título 3 Car"/>
    <w:basedOn w:val="DefaultParagraphFont"/>
    <w:link w:val="Ttulo3"/>
    <w:uiPriority w:val="9"/>
    <w:semiHidden/>
    <w:qFormat/>
    <w:rsid w:val="00b328c9"/>
    <w:rPr>
      <w:rFonts w:eastAsia="" w:cs="" w:cstheme="majorBidi" w:eastAsiaTheme="majorEastAsia"/>
      <w:color w:val="0F4761" w:themeColor="accent1" w:themeShade="bf"/>
      <w:sz w:val="28"/>
      <w:szCs w:val="28"/>
    </w:rPr>
  </w:style>
  <w:style w:type="character" w:styleId="Ttulo4Car" w:customStyle="1">
    <w:name w:val="Título 4 Car"/>
    <w:basedOn w:val="DefaultParagraphFont"/>
    <w:link w:val="Ttulo4"/>
    <w:uiPriority w:val="9"/>
    <w:semiHidden/>
    <w:qFormat/>
    <w:rsid w:val="00b328c9"/>
    <w:rPr>
      <w:rFonts w:eastAsia="" w:cs="" w:cstheme="majorBidi" w:eastAsiaTheme="majorEastAsia"/>
      <w:i/>
      <w:iCs/>
      <w:color w:val="0F4761" w:themeColor="accent1" w:themeShade="bf"/>
    </w:rPr>
  </w:style>
  <w:style w:type="character" w:styleId="Ttulo5Car" w:customStyle="1">
    <w:name w:val="Título 5 Car"/>
    <w:basedOn w:val="DefaultParagraphFont"/>
    <w:link w:val="Ttulo5"/>
    <w:uiPriority w:val="9"/>
    <w:semiHidden/>
    <w:qFormat/>
    <w:rsid w:val="00b328c9"/>
    <w:rPr>
      <w:rFonts w:eastAsia="" w:cs="" w:cstheme="majorBidi" w:eastAsiaTheme="majorEastAsia"/>
      <w:color w:val="0F4761" w:themeColor="accent1" w:themeShade="bf"/>
    </w:rPr>
  </w:style>
  <w:style w:type="character" w:styleId="Ttulo6Car" w:customStyle="1">
    <w:name w:val="Título 6 Car"/>
    <w:basedOn w:val="DefaultParagraphFont"/>
    <w:link w:val="Ttulo6"/>
    <w:uiPriority w:val="9"/>
    <w:semiHidden/>
    <w:qFormat/>
    <w:rsid w:val="00b328c9"/>
    <w:rPr>
      <w:rFonts w:eastAsia="" w:cs="" w:cstheme="majorBidi" w:eastAsiaTheme="majorEastAsia"/>
      <w:i/>
      <w:iCs/>
      <w:color w:val="595959" w:themeColor="text1" w:themeTint="a6"/>
    </w:rPr>
  </w:style>
  <w:style w:type="character" w:styleId="Ttulo7Car" w:customStyle="1">
    <w:name w:val="Título 7 Car"/>
    <w:basedOn w:val="DefaultParagraphFont"/>
    <w:link w:val="Ttulo7"/>
    <w:uiPriority w:val="9"/>
    <w:semiHidden/>
    <w:qFormat/>
    <w:rsid w:val="00b328c9"/>
    <w:rPr>
      <w:rFonts w:eastAsia="" w:cs="" w:cstheme="majorBidi" w:eastAsiaTheme="majorEastAsia"/>
      <w:color w:val="595959" w:themeColor="text1" w:themeTint="a6"/>
    </w:rPr>
  </w:style>
  <w:style w:type="character" w:styleId="Ttulo8Car" w:customStyle="1">
    <w:name w:val="Título 8 Car"/>
    <w:basedOn w:val="DefaultParagraphFont"/>
    <w:link w:val="Ttulo8"/>
    <w:uiPriority w:val="9"/>
    <w:semiHidden/>
    <w:qFormat/>
    <w:rsid w:val="00b328c9"/>
    <w:rPr>
      <w:rFonts w:eastAsia="" w:cs="" w:cstheme="majorBidi" w:eastAsiaTheme="majorEastAsia"/>
      <w:i/>
      <w:iCs/>
      <w:color w:val="272727" w:themeColor="text1" w:themeTint="d8"/>
    </w:rPr>
  </w:style>
  <w:style w:type="character" w:styleId="Ttulo9Car" w:customStyle="1">
    <w:name w:val="Título 9 Car"/>
    <w:basedOn w:val="DefaultParagraphFont"/>
    <w:link w:val="Ttulo9"/>
    <w:uiPriority w:val="9"/>
    <w:semiHidden/>
    <w:qFormat/>
    <w:rsid w:val="00b328c9"/>
    <w:rPr>
      <w:rFonts w:eastAsia="" w:cs="" w:cstheme="majorBidi" w:eastAsiaTheme="majorEastAsia"/>
      <w:color w:val="272727" w:themeColor="text1" w:themeTint="d8"/>
    </w:rPr>
  </w:style>
  <w:style w:type="character" w:styleId="TtuloCar" w:customStyle="1">
    <w:name w:val="Título Car"/>
    <w:basedOn w:val="DefaultParagraphFont"/>
    <w:link w:val="Ttulo"/>
    <w:uiPriority w:val="10"/>
    <w:qFormat/>
    <w:rsid w:val="00b328c9"/>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link w:val="Subttulo"/>
    <w:uiPriority w:val="11"/>
    <w:qFormat/>
    <w:rsid w:val="00b328c9"/>
    <w:rPr>
      <w:rFonts w:eastAsia="" w:cs="" w:cstheme="majorBidi" w:eastAsiaTheme="majorEastAsia"/>
      <w:color w:val="595959" w:themeColor="text1" w:themeTint="a6"/>
      <w:spacing w:val="15"/>
      <w:sz w:val="28"/>
      <w:szCs w:val="28"/>
    </w:rPr>
  </w:style>
  <w:style w:type="character" w:styleId="CitaCar" w:customStyle="1">
    <w:name w:val="Cita Car"/>
    <w:basedOn w:val="DefaultParagraphFont"/>
    <w:link w:val="Cita"/>
    <w:uiPriority w:val="29"/>
    <w:qFormat/>
    <w:rsid w:val="00b328c9"/>
    <w:rPr>
      <w:i/>
      <w:iCs/>
      <w:color w:val="404040" w:themeColor="text1" w:themeTint="bf"/>
    </w:rPr>
  </w:style>
  <w:style w:type="character" w:styleId="IntenseEmphasis">
    <w:name w:val="Intense Emphasis"/>
    <w:basedOn w:val="DefaultParagraphFont"/>
    <w:uiPriority w:val="21"/>
    <w:qFormat/>
    <w:rsid w:val="00b328c9"/>
    <w:rPr>
      <w:i/>
      <w:iCs/>
      <w:color w:val="0F4761" w:themeColor="accent1" w:themeShade="bf"/>
    </w:rPr>
  </w:style>
  <w:style w:type="character" w:styleId="CitadestacadaCar" w:customStyle="1">
    <w:name w:val="Cita destacada Car"/>
    <w:basedOn w:val="DefaultParagraphFont"/>
    <w:link w:val="Citadestacada"/>
    <w:uiPriority w:val="30"/>
    <w:qFormat/>
    <w:rsid w:val="00b328c9"/>
    <w:rPr>
      <w:i/>
      <w:iCs/>
      <w:color w:val="0F4761" w:themeColor="accent1" w:themeShade="bf"/>
    </w:rPr>
  </w:style>
  <w:style w:type="character" w:styleId="IntenseReference">
    <w:name w:val="Intense Reference"/>
    <w:basedOn w:val="DefaultParagraphFont"/>
    <w:uiPriority w:val="32"/>
    <w:qFormat/>
    <w:rsid w:val="00b328c9"/>
    <w:rPr>
      <w:b/>
      <w:bCs/>
      <w:smallCaps/>
      <w:color w:val="0F4761" w:themeColor="accent1" w:themeShade="bf"/>
      <w:spacing w:val="5"/>
    </w:rPr>
  </w:style>
  <w:style w:type="character" w:styleId="InternetLink">
    <w:name w:val="Hyperlink"/>
    <w:basedOn w:val="DefaultParagraphFont"/>
    <w:uiPriority w:val="99"/>
    <w:unhideWhenUsed/>
    <w:rsid w:val="00b328c9"/>
    <w:rPr>
      <w:color w:val="467886" w:themeColor="hyperlink"/>
      <w:u w:val="single"/>
    </w:rPr>
  </w:style>
  <w:style w:type="character" w:styleId="UnresolvedMention">
    <w:name w:val="Unresolved Mention"/>
    <w:basedOn w:val="DefaultParagraphFont"/>
    <w:uiPriority w:val="99"/>
    <w:semiHidden/>
    <w:unhideWhenUsed/>
    <w:qFormat/>
    <w:rsid w:val="00b328c9"/>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Normal"/>
    <w:next w:val="Normal"/>
    <w:link w:val="TtuloCar"/>
    <w:uiPriority w:val="10"/>
    <w:qFormat/>
    <w:rsid w:val="00b328c9"/>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rsid w:val="00b328c9"/>
    <w:pPr/>
    <w:rPr>
      <w:rFonts w:eastAsia="" w:cs="" w:cstheme="majorBidi" w:eastAsiaTheme="majorEastAsia"/>
      <w:color w:val="595959" w:themeColor="text1" w:themeTint="a6"/>
      <w:spacing w:val="15"/>
      <w:sz w:val="28"/>
      <w:szCs w:val="28"/>
    </w:rPr>
  </w:style>
  <w:style w:type="paragraph" w:styleId="Quote">
    <w:name w:val="Quote"/>
    <w:basedOn w:val="Normal"/>
    <w:next w:val="Normal"/>
    <w:link w:val="CitaCar"/>
    <w:uiPriority w:val="29"/>
    <w:qFormat/>
    <w:rsid w:val="00b328c9"/>
    <w:pPr>
      <w:spacing w:before="160" w:after="160"/>
      <w:jc w:val="center"/>
    </w:pPr>
    <w:rPr>
      <w:i/>
      <w:iCs/>
      <w:color w:val="404040" w:themeColor="text1" w:themeTint="bf"/>
    </w:rPr>
  </w:style>
  <w:style w:type="paragraph" w:styleId="ListParagraph">
    <w:name w:val="List Paragraph"/>
    <w:basedOn w:val="Normal"/>
    <w:uiPriority w:val="34"/>
    <w:qFormat/>
    <w:rsid w:val="00b328c9"/>
    <w:pPr>
      <w:spacing w:before="0" w:after="160"/>
      <w:ind w:left="720" w:hanging="0"/>
      <w:contextualSpacing/>
    </w:pPr>
    <w:rPr/>
  </w:style>
  <w:style w:type="paragraph" w:styleId="IntenseQuote">
    <w:name w:val="Intense Quote"/>
    <w:basedOn w:val="Normal"/>
    <w:next w:val="Normal"/>
    <w:link w:val="CitadestacadaCar"/>
    <w:uiPriority w:val="30"/>
    <w:qFormat/>
    <w:rsid w:val="00b328c9"/>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Spacing">
    <w:name w:val="No Spacing"/>
    <w:uiPriority w:val="1"/>
    <w:qFormat/>
    <w:rsid w:val="00b328c9"/>
    <w:pPr>
      <w:widowControl/>
      <w:bidi w:val="0"/>
      <w:spacing w:lineRule="auto" w:line="240" w:before="0" w:after="0"/>
      <w:jc w:val="left"/>
    </w:pPr>
    <w:rPr>
      <w:rFonts w:ascii="Aptos" w:hAnsi="Aptos" w:eastAsia="Aptos" w:cs="" w:asciiTheme="minorHAnsi" w:cstheme="minorBidi" w:eastAsiaTheme="minorHAnsi" w:hAnsiTheme="minorHAnsi"/>
      <w:color w:val="auto"/>
      <w:kern w:val="2"/>
      <w:sz w:val="22"/>
      <w:szCs w:val="22"/>
      <w:lang w:val="es-MX" w:eastAsia="en-US" w:bidi="ar-SA"/>
      <w14:ligatures w14:val="standardContextual"/>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Relationship Id="rId6" Type="http://schemas.openxmlformats.org/officeDocument/2006/relationships/customXml" Target="../customXml/item2.xml"/><Relationship Id="rId7" Type="http://schemas.openxmlformats.org/officeDocument/2006/relationships/customXml" Target="../customXml/item3.xml"/>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3a93f3-5de0-446f-a621-3c8ca7f0d6c6">
      <Terms xmlns="http://schemas.microsoft.com/office/infopath/2007/PartnerControls"/>
    </lcf76f155ced4ddcb4097134ff3c332f>
    <TaxCatchAll xmlns="583b78da-7448-4969-944d-c3cf921fae8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61C427C30325B4899C30AC1FE365578" ma:contentTypeVersion="18" ma:contentTypeDescription="Crear nuevo documento." ma:contentTypeScope="" ma:versionID="9fb422c0d3f26aa09a5f0390ea4a78d8">
  <xsd:schema xmlns:xsd="http://www.w3.org/2001/XMLSchema" xmlns:xs="http://www.w3.org/2001/XMLSchema" xmlns:p="http://schemas.microsoft.com/office/2006/metadata/properties" xmlns:ns2="193a93f3-5de0-446f-a621-3c8ca7f0d6c6" xmlns:ns3="583b78da-7448-4969-944d-c3cf921fae8d" targetNamespace="http://schemas.microsoft.com/office/2006/metadata/properties" ma:root="true" ma:fieldsID="bbdb661bc9892ba8d7f08ae54de5f057" ns2:_="" ns3:_="">
    <xsd:import namespace="193a93f3-5de0-446f-a621-3c8ca7f0d6c6"/>
    <xsd:import namespace="583b78da-7448-4969-944d-c3cf921fae8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GenerationTime" minOccurs="0"/>
                <xsd:element ref="ns2:MediaServiceEventHashCode" minOccurs="0"/>
                <xsd:element ref="ns2:MediaServiceLocation"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SearchProperties" minOccurs="0"/>
                <xsd:element ref="ns2:MediaServiceObjectDetectorVersion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93a93f3-5de0-446f-a621-3c8ca7f0d6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5bdcda76-fb7a-4604-afaf-4c54c2ed4ae7"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83b78da-7448-4969-944d-c3cf921fae8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3b81488d-e087-4151-a247-0d0d113c734d}" ma:internalName="TaxCatchAll" ma:showField="CatchAllData" ma:web="583b78da-7448-4969-944d-c3cf921fae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875111-7FBF-4B69-B073-2071B558562B}"/>
</file>

<file path=customXml/itemProps2.xml><?xml version="1.0" encoding="utf-8"?>
<ds:datastoreItem xmlns:ds="http://schemas.openxmlformats.org/officeDocument/2006/customXml" ds:itemID="{85CE3B2C-8481-4FB2-BC90-63EF6E1D72A8}"/>
</file>

<file path=customXml/itemProps3.xml><?xml version="1.0" encoding="utf-8"?>
<ds:datastoreItem xmlns:ds="http://schemas.openxmlformats.org/officeDocument/2006/customXml" ds:itemID="{D706C215-700B-4E1A-A611-30BE85BC32CF}"/>
</file>

<file path=docProps/app.xml><?xml version="1.0" encoding="utf-8"?>
<Properties xmlns="http://schemas.openxmlformats.org/officeDocument/2006/extended-properties" xmlns:vt="http://schemas.openxmlformats.org/officeDocument/2006/docPropsVTypes">
  <Template>Normal</Template>
  <TotalTime>39</TotalTime>
  <Application>LibreOffice/7.0.4.2$MacOSX_X86_64 LibreOffice_project/dcf040e67528d9187c66b2379df5ea4407429775</Application>
  <AppVersion>15.0000</AppVersion>
  <Pages>10</Pages>
  <Words>3614</Words>
  <Characters>19826</Characters>
  <CharactersWithSpaces>23467</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2026-05-12T21:44:00Z</dcterms:created>
  <dc:creator>Xavier González Gómez</dc:creator>
  <dc:description/>
  <dc:language>es-ES</dc:language>
  <cp:lastModifiedBy/>
  <dcterms:modified xsi:type="dcterms:W3CDTF">2026-09-26T12:56:43Z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0x010100761C427C30325B4899C30AC1FE365578</vt:lpwstr>
  </property>
  <property fmtid="{D5CDD505-2E9C-101B-9397-08002B2CF9AE}" pid="3" name="MediaServiceImageTags">
    <vt:lpwstr/>
  </property>
</Properties>
</file>