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szCs w:val="28"/>
          <w:rtl w:val="0"/>
        </w:rPr>
        <w:t xml:space="preserve">Práctica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documento debe crearse con las siguientes indicaciones: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 debe colocar en el encabezado el nombre completo, sin abreviaturas y con sus respectivos acentos. También se debe incluir la dirección de correo.</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Margenes: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Superior: 3 cm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Inferior: 3 cm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Izquierdo: 2 cm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Derecho: 2 cm</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 Triángulo de Pascal tiene un ancho del 80% del ancho de la caja de texto.</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 texto de las medianas tiene un ancho de 10 cm.</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 imagen de las medianas tiene un ancho de 6 cm. La imagen se encuentra en la carpeta compartida.</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 Triángulo de Sierpinski tiene un ancho de 1/10 del ancho de la caja de texto. La imagen se encuentra en la carpeta compartida.</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Las imagenes que aparecen en la sección del Triángulo de Sierpinski tienen una rotación de 60, 90 y 180 grados. Las imagenes que aparecen en la parte superior corresponden a la imagen original, al resto se les debe aplicar una rotación.</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 bibliografía se puede insertar mediante el entorno </w:t>
      </w:r>
      <w:r w:rsidDel="00000000" w:rsidR="00000000" w:rsidRPr="00000000">
        <w:rPr>
          <w:i w:val="1"/>
          <w:rtl w:val="0"/>
        </w:rPr>
        <w:t xml:space="preserve">thebibliography</w:t>
      </w:r>
      <w:r w:rsidDel="00000000" w:rsidR="00000000" w:rsidRPr="00000000">
        <w:rPr>
          <w:rtl w:val="0"/>
        </w:rPr>
        <w:t xml:space="preserve">.</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Partes del texto del documento se incluyen en la siguiente página, no es necesario teclear todo el contenido: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Texto de las medianas: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geometría las medianas de un triángulo son cada una de los tres segmentos que unen cada vértice con el punto medio de su lado opuesto. Cada mediana divide al triángulo en dos regiones de igual área. Las tres medianas se intersecan en el baricentro, gravicentro, o centroide,</w:t>
      </w:r>
    </w:p>
    <w:p w:rsidR="00000000" w:rsidDel="00000000" w:rsidP="00000000" w:rsidRDefault="00000000" w:rsidRPr="00000000">
      <w:pPr>
        <w:contextualSpacing w:val="0"/>
      </w:pPr>
      <w:r w:rsidDel="00000000" w:rsidR="00000000" w:rsidRPr="00000000">
        <w:rPr>
          <w:rtl w:val="0"/>
        </w:rPr>
        <w:t xml:space="preserve">marcado como G en la figura de la derecha.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Texto de la tabla de paquetes de LaTeX: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Paquetes de LaTeX</w:t>
      </w:r>
    </w:p>
    <w:p w:rsidR="00000000" w:rsidDel="00000000" w:rsidP="00000000" w:rsidRDefault="00000000" w:rsidRPr="00000000">
      <w:pPr>
        <w:contextualSpacing w:val="0"/>
      </w:pPr>
      <w:r w:rsidDel="00000000" w:rsidR="00000000" w:rsidRPr="00000000">
        <w:rPr>
          <w:rtl w:val="0"/>
        </w:rPr>
        <w:t xml:space="preserve">Uso Paquete Comandos Opciones IDE</w:t>
      </w:r>
    </w:p>
    <w:p w:rsidR="00000000" w:rsidDel="00000000" w:rsidP="00000000" w:rsidRDefault="00000000" w:rsidRPr="00000000">
      <w:pPr>
        <w:contextualSpacing w:val="0"/>
      </w:pPr>
      <w:r w:rsidDel="00000000" w:rsidR="00000000" w:rsidRPr="00000000">
        <w:rPr>
          <w:rtl w:val="0"/>
        </w:rPr>
        <w:t xml:space="preserve">Español y codificación babel Ninguno spanish TeXLive, MikTeX</w:t>
      </w:r>
    </w:p>
    <w:p w:rsidR="00000000" w:rsidDel="00000000" w:rsidP="00000000" w:rsidRDefault="00000000" w:rsidRPr="00000000">
      <w:pPr>
        <w:contextualSpacing w:val="0"/>
      </w:pPr>
      <w:r w:rsidDel="00000000" w:rsidR="00000000" w:rsidRPr="00000000">
        <w:rPr>
          <w:rtl w:val="0"/>
        </w:rPr>
        <w:t xml:space="preserve">fontenc latin1</w:t>
      </w:r>
    </w:p>
    <w:p w:rsidR="00000000" w:rsidDel="00000000" w:rsidP="00000000" w:rsidRDefault="00000000" w:rsidRPr="00000000">
      <w:pPr>
        <w:contextualSpacing w:val="0"/>
      </w:pPr>
      <w:r w:rsidDel="00000000" w:rsidR="00000000" w:rsidRPr="00000000">
        <w:rPr>
          <w:rtl w:val="0"/>
        </w:rPr>
        <w:t xml:space="preserve">Imagenes graphicx includegraphics angle TeXLive, MikTeX</w:t>
      </w:r>
    </w:p>
    <w:p w:rsidR="00000000" w:rsidDel="00000000" w:rsidP="00000000" w:rsidRDefault="00000000" w:rsidRPr="00000000">
      <w:pPr>
        <w:contextualSpacing w:val="0"/>
      </w:pPr>
      <w:r w:rsidDel="00000000" w:rsidR="00000000" w:rsidRPr="00000000">
        <w:rPr>
          <w:rtl w:val="0"/>
        </w:rPr>
        <w:t xml:space="preserve">scale</w:t>
      </w:r>
    </w:p>
    <w:p w:rsidR="00000000" w:rsidDel="00000000" w:rsidP="00000000" w:rsidRDefault="00000000" w:rsidRPr="00000000">
      <w:pPr>
        <w:contextualSpacing w:val="0"/>
      </w:pPr>
      <w:r w:rsidDel="00000000" w:rsidR="00000000" w:rsidRPr="00000000">
        <w:rPr>
          <w:rtl w:val="0"/>
        </w:rPr>
        <w:t xml:space="preserve">Citas bibliográficas cite cite citet citep TeXLive, MikTeX</w:t>
      </w:r>
    </w:p>
    <w:p w:rsidR="00000000" w:rsidDel="00000000" w:rsidP="00000000" w:rsidRDefault="00000000" w:rsidRPr="00000000">
      <w:pPr>
        <w:contextualSpacing w:val="0"/>
      </w:pPr>
      <w:r w:rsidDel="00000000" w:rsidR="00000000" w:rsidRPr="00000000">
        <w:rPr>
          <w:rtl w:val="0"/>
        </w:rPr>
        <w:t xml:space="preserve">natbib</w:t>
      </w:r>
    </w:p>
    <w:p w:rsidR="00000000" w:rsidDel="00000000" w:rsidP="00000000" w:rsidRDefault="00000000" w:rsidRPr="00000000">
      <w:pPr>
        <w:contextualSpacing w:val="0"/>
      </w:pPr>
      <w:r w:rsidDel="00000000" w:rsidR="00000000" w:rsidRPr="00000000">
        <w:rPr>
          <w:rtl w:val="0"/>
        </w:rPr>
        <w:t xml:space="preserve">Los paquetes deben cargarse con usepackage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Bibliografía: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Braun, </w:t>
      </w:r>
      <w:r w:rsidDel="00000000" w:rsidR="00000000" w:rsidRPr="00000000">
        <w:rPr>
          <w:u w:val="single"/>
          <w:rtl w:val="0"/>
        </w:rPr>
        <w:t xml:space="preserve">Eliezer</w:t>
      </w:r>
      <w:r w:rsidDel="00000000" w:rsidR="00000000" w:rsidRPr="00000000">
        <w:rPr>
          <w:rtl w:val="0"/>
        </w:rPr>
        <w:t xml:space="preserve">; </w:t>
      </w:r>
      <w:r w:rsidDel="00000000" w:rsidR="00000000" w:rsidRPr="00000000">
        <w:rPr>
          <w:u w:val="single"/>
          <w:rtl w:val="0"/>
        </w:rPr>
        <w:t xml:space="preserve">Caos</w:t>
      </w:r>
      <w:r w:rsidDel="00000000" w:rsidR="00000000" w:rsidRPr="00000000">
        <w:rPr>
          <w:rtl w:val="0"/>
        </w:rPr>
        <w:t xml:space="preserve">, </w:t>
      </w:r>
      <w:r w:rsidDel="00000000" w:rsidR="00000000" w:rsidRPr="00000000">
        <w:rPr>
          <w:u w:val="single"/>
          <w:rtl w:val="0"/>
        </w:rPr>
        <w:t xml:space="preserve">Fractales</w:t>
      </w:r>
      <w:r w:rsidDel="00000000" w:rsidR="00000000" w:rsidRPr="00000000">
        <w:rPr>
          <w:rtl w:val="0"/>
        </w:rPr>
        <w:t xml:space="preserve"> y </w:t>
      </w:r>
      <w:r w:rsidDel="00000000" w:rsidR="00000000" w:rsidRPr="00000000">
        <w:rPr>
          <w:u w:val="single"/>
          <w:rtl w:val="0"/>
        </w:rPr>
        <w:t xml:space="preserve">Cosas</w:t>
      </w:r>
      <w:r w:rsidDel="00000000" w:rsidR="00000000" w:rsidRPr="00000000">
        <w:rPr>
          <w:rtl w:val="0"/>
        </w:rPr>
        <w:t xml:space="preserve"> </w:t>
      </w:r>
      <w:r w:rsidDel="00000000" w:rsidR="00000000" w:rsidRPr="00000000">
        <w:rPr>
          <w:u w:val="single"/>
          <w:rtl w:val="0"/>
        </w:rPr>
        <w:t xml:space="preserve">Raras</w:t>
      </w:r>
      <w:r w:rsidDel="00000000" w:rsidR="00000000" w:rsidRPr="00000000">
        <w:rPr>
          <w:rtl w:val="0"/>
        </w:rPr>
        <w:t xml:space="preserve">; </w:t>
      </w:r>
      <w:r w:rsidDel="00000000" w:rsidR="00000000" w:rsidRPr="00000000">
        <w:rPr>
          <w:u w:val="single"/>
          <w:rtl w:val="0"/>
        </w:rPr>
        <w:t xml:space="preserve">Fondo</w:t>
      </w:r>
      <w:r w:rsidDel="00000000" w:rsidR="00000000" w:rsidRPr="00000000">
        <w:rPr>
          <w:rtl w:val="0"/>
        </w:rPr>
        <w:t xml:space="preserve"> de </w:t>
      </w:r>
      <w:r w:rsidDel="00000000" w:rsidR="00000000" w:rsidRPr="00000000">
        <w:rPr>
          <w:u w:val="single"/>
          <w:rtl w:val="0"/>
        </w:rPr>
        <w:t xml:space="preserve">Cultura</w:t>
      </w:r>
      <w:r w:rsidDel="00000000" w:rsidR="00000000" w:rsidRPr="00000000">
        <w:rPr>
          <w:rtl w:val="0"/>
        </w:rPr>
        <w:t xml:space="preserve"> </w:t>
      </w:r>
      <w:r w:rsidDel="00000000" w:rsidR="00000000" w:rsidRPr="00000000">
        <w:rPr>
          <w:u w:val="single"/>
          <w:rtl w:val="0"/>
        </w:rPr>
        <w:t xml:space="preserve">Económica</w:t>
      </w:r>
      <w:r w:rsidDel="00000000" w:rsidR="00000000" w:rsidRPr="00000000">
        <w:rPr>
          <w:rtl w:val="0"/>
        </w:rPr>
        <w:t xml:space="preserve">; 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Lopéz</w:t>
      </w:r>
      <w:r w:rsidDel="00000000" w:rsidR="00000000" w:rsidRPr="00000000">
        <w:rPr>
          <w:rtl w:val="0"/>
        </w:rPr>
        <w:t xml:space="preserve"> </w:t>
      </w:r>
      <w:r w:rsidDel="00000000" w:rsidR="00000000" w:rsidRPr="00000000">
        <w:rPr>
          <w:u w:val="single"/>
          <w:rtl w:val="0"/>
        </w:rPr>
        <w:t xml:space="preserve">Quiles</w:t>
      </w:r>
      <w:r w:rsidDel="00000000" w:rsidR="00000000" w:rsidRPr="00000000">
        <w:rPr>
          <w:rtl w:val="0"/>
        </w:rPr>
        <w:t xml:space="preserve">, Antonio; </w:t>
      </w:r>
      <w:r w:rsidDel="00000000" w:rsidR="00000000" w:rsidRPr="00000000">
        <w:rPr>
          <w:u w:val="single"/>
          <w:rtl w:val="0"/>
        </w:rPr>
        <w:t xml:space="preserve">Relaciones</w:t>
      </w:r>
      <w:r w:rsidDel="00000000" w:rsidR="00000000" w:rsidRPr="00000000">
        <w:rPr>
          <w:rtl w:val="0"/>
        </w:rPr>
        <w:t xml:space="preserve"> y </w:t>
      </w:r>
      <w:r w:rsidDel="00000000" w:rsidR="00000000" w:rsidRPr="00000000">
        <w:rPr>
          <w:u w:val="single"/>
          <w:rtl w:val="0"/>
        </w:rPr>
        <w:t xml:space="preserve">Geometría</w:t>
      </w:r>
      <w:r w:rsidDel="00000000" w:rsidR="00000000" w:rsidRPr="00000000">
        <w:rPr>
          <w:rtl w:val="0"/>
        </w:rPr>
        <w:t xml:space="preserve"> </w:t>
      </w:r>
      <w:r w:rsidDel="00000000" w:rsidR="00000000" w:rsidRPr="00000000">
        <w:rPr>
          <w:u w:val="single"/>
          <w:rtl w:val="0"/>
        </w:rPr>
        <w:t xml:space="preserve">Analítica</w:t>
      </w:r>
      <w:r w:rsidDel="00000000" w:rsidR="00000000" w:rsidRPr="00000000">
        <w:rPr>
          <w:rtl w:val="0"/>
        </w:rPr>
        <w:t xml:space="preserve">; Alhambra </w:t>
      </w:r>
      <w:r w:rsidDel="00000000" w:rsidR="00000000" w:rsidRPr="00000000">
        <w:rPr>
          <w:u w:val="single"/>
          <w:rtl w:val="0"/>
        </w:rPr>
        <w:t xml:space="preserve">Mexicana</w:t>
      </w:r>
      <w:r w:rsidDel="00000000" w:rsidR="00000000" w:rsidRPr="00000000">
        <w:rPr>
          <w:rtl w:val="0"/>
        </w:rPr>
        <w:t xml:space="preserve">; 1993.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Lamport</w:t>
      </w:r>
      <w:r w:rsidDel="00000000" w:rsidR="00000000" w:rsidRPr="00000000">
        <w:rPr>
          <w:rtl w:val="0"/>
        </w:rPr>
        <w:t xml:space="preserve">, Leslie; </w:t>
      </w:r>
      <w:r w:rsidDel="00000000" w:rsidR="00000000" w:rsidRPr="00000000">
        <w:rPr>
          <w:color w:val="800000"/>
          <w:rtl w:val="0"/>
        </w:rPr>
        <w:t xml:space="preserve">\LaTeX</w:t>
      </w:r>
      <w:r w:rsidDel="00000000" w:rsidR="00000000" w:rsidRPr="00000000">
        <w:rPr>
          <w:rtl w:val="0"/>
        </w:rPr>
        <w:t xml:space="preserve">{}; Addison-Wesley; 1996.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