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2179" w14:textId="2431D361" w:rsidR="00832D1C" w:rsidRPr="002176D5" w:rsidRDefault="00000000" w:rsidP="0096665C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2176D5">
        <w:rPr>
          <w:rFonts w:ascii="Times New Roman" w:hAnsi="Times New Roman" w:cs="Times New Roman"/>
          <w:color w:val="000000" w:themeColor="text1"/>
        </w:rPr>
        <w:t xml:space="preserve">Machine Learning Analysis for Blood Diagnosis </w:t>
      </w:r>
      <w:r w:rsidR="005360E0">
        <w:rPr>
          <w:rFonts w:ascii="Times New Roman" w:hAnsi="Times New Roman" w:cs="Times New Roman"/>
          <w:color w:val="000000" w:themeColor="text1"/>
        </w:rPr>
        <w:t>Short Notes</w:t>
      </w:r>
    </w:p>
    <w:p w14:paraId="74A28749" w14:textId="77777777" w:rsidR="005001F5" w:rsidRDefault="00000000" w:rsidP="0096665C">
      <w:pPr>
        <w:rPr>
          <w:rFonts w:ascii="Times New Roman" w:hAnsi="Times New Roman" w:cs="Times New Roman"/>
          <w:sz w:val="24"/>
          <w:szCs w:val="24"/>
          <w:u w:val="single"/>
        </w:rPr>
      </w:pPr>
      <w:r w:rsidRPr="002176D5">
        <w:rPr>
          <w:rFonts w:ascii="Times New Roman" w:hAnsi="Times New Roman" w:cs="Times New Roman"/>
        </w:rPr>
        <w:br/>
      </w:r>
      <w:r w:rsidRPr="005360E0">
        <w:rPr>
          <w:rFonts w:ascii="Times New Roman" w:hAnsi="Times New Roman" w:cs="Times New Roman"/>
          <w:sz w:val="24"/>
          <w:szCs w:val="24"/>
        </w:rPr>
        <w:t xml:space="preserve">1. </w:t>
      </w:r>
      <w:r w:rsidRPr="00624389">
        <w:rPr>
          <w:rFonts w:ascii="Times New Roman" w:hAnsi="Times New Roman" w:cs="Times New Roman"/>
          <w:sz w:val="24"/>
          <w:szCs w:val="24"/>
          <w:u w:val="single"/>
        </w:rPr>
        <w:t>White‑Box Methodological Framework</w:t>
      </w:r>
    </w:p>
    <w:p w14:paraId="4B79B1AD" w14:textId="77777777" w:rsidR="005001F5" w:rsidRDefault="00000000" w:rsidP="0096665C">
      <w:pPr>
        <w:rPr>
          <w:rFonts w:ascii="Times New Roman" w:hAnsi="Times New Roman" w:cs="Times New Roman"/>
          <w:sz w:val="24"/>
          <w:szCs w:val="24"/>
          <w:u w:val="single"/>
        </w:rPr>
      </w:pPr>
      <w:r w:rsidRPr="005360E0">
        <w:rPr>
          <w:rFonts w:ascii="Times New Roman" w:hAnsi="Times New Roman" w:cs="Times New Roman"/>
          <w:sz w:val="24"/>
          <w:szCs w:val="24"/>
        </w:rPr>
        <w:br/>
        <w:t>This study incorporates a white‑box interpretability strategy to complement predictive modelling.</w:t>
      </w:r>
      <w:r w:rsidR="005360E0">
        <w:rPr>
          <w:rFonts w:ascii="Times New Roman" w:hAnsi="Times New Roman" w:cs="Times New Roman"/>
          <w:sz w:val="24"/>
          <w:szCs w:val="24"/>
        </w:rPr>
        <w:t xml:space="preserve"> </w:t>
      </w:r>
      <w:r w:rsidRPr="005360E0">
        <w:rPr>
          <w:rFonts w:ascii="Times New Roman" w:hAnsi="Times New Roman" w:cs="Times New Roman"/>
          <w:sz w:val="24"/>
          <w:szCs w:val="24"/>
        </w:rPr>
        <w:t>Rather than relying solely on classification accuracy, the analysis examines relationships between</w:t>
      </w:r>
      <w:r w:rsidR="002176D5" w:rsidRPr="005360E0">
        <w:rPr>
          <w:rFonts w:ascii="Times New Roman" w:hAnsi="Times New Roman" w:cs="Times New Roman"/>
          <w:sz w:val="24"/>
          <w:szCs w:val="24"/>
        </w:rPr>
        <w:t xml:space="preserve"> </w:t>
      </w:r>
      <w:r w:rsidRPr="005360E0">
        <w:rPr>
          <w:rFonts w:ascii="Times New Roman" w:hAnsi="Times New Roman" w:cs="Times New Roman"/>
          <w:sz w:val="24"/>
          <w:szCs w:val="24"/>
        </w:rPr>
        <w:t>input parameters and model outputs using:</w:t>
      </w:r>
      <w:r w:rsidRPr="005360E0">
        <w:rPr>
          <w:rFonts w:ascii="Times New Roman" w:hAnsi="Times New Roman" w:cs="Times New Roman"/>
          <w:sz w:val="24"/>
          <w:szCs w:val="24"/>
        </w:rPr>
        <w:br/>
      </w:r>
      <w:r w:rsidRPr="005360E0">
        <w:rPr>
          <w:rFonts w:ascii="Times New Roman" w:hAnsi="Times New Roman" w:cs="Times New Roman"/>
          <w:sz w:val="24"/>
          <w:szCs w:val="24"/>
        </w:rPr>
        <w:br/>
        <w:t>• Correlation matrices to assess feature interactions</w:t>
      </w:r>
      <w:r w:rsidRPr="005360E0">
        <w:rPr>
          <w:rFonts w:ascii="Times New Roman" w:hAnsi="Times New Roman" w:cs="Times New Roman"/>
          <w:sz w:val="24"/>
          <w:szCs w:val="24"/>
        </w:rPr>
        <w:br/>
        <w:t>• Feature‑importance rankings from ensemble models</w:t>
      </w:r>
      <w:r w:rsidRPr="005360E0">
        <w:rPr>
          <w:rFonts w:ascii="Times New Roman" w:hAnsi="Times New Roman" w:cs="Times New Roman"/>
          <w:sz w:val="24"/>
          <w:szCs w:val="24"/>
        </w:rPr>
        <w:br/>
        <w:t>• Rule‑based baseline comparisons</w:t>
      </w:r>
      <w:r w:rsidRPr="005360E0">
        <w:rPr>
          <w:rFonts w:ascii="Times New Roman" w:hAnsi="Times New Roman" w:cs="Times New Roman"/>
          <w:sz w:val="24"/>
          <w:szCs w:val="24"/>
        </w:rPr>
        <w:br/>
        <w:t>• Clinical parameter interpretation</w:t>
      </w:r>
      <w:r w:rsidRPr="005360E0">
        <w:rPr>
          <w:rFonts w:ascii="Times New Roman" w:hAnsi="Times New Roman" w:cs="Times New Roman"/>
          <w:sz w:val="24"/>
          <w:szCs w:val="24"/>
        </w:rPr>
        <w:br/>
      </w:r>
      <w:r w:rsidRPr="005360E0">
        <w:rPr>
          <w:rFonts w:ascii="Times New Roman" w:hAnsi="Times New Roman" w:cs="Times New Roman"/>
          <w:sz w:val="24"/>
          <w:szCs w:val="24"/>
        </w:rPr>
        <w:br/>
        <w:t>This approach enables validation that learned patterns align with domain knowledge and provides</w:t>
      </w:r>
      <w:r w:rsidR="005360E0">
        <w:rPr>
          <w:rFonts w:ascii="Times New Roman" w:hAnsi="Times New Roman" w:cs="Times New Roman"/>
          <w:sz w:val="24"/>
          <w:szCs w:val="24"/>
        </w:rPr>
        <w:t xml:space="preserve"> </w:t>
      </w:r>
      <w:r w:rsidRPr="005360E0">
        <w:rPr>
          <w:rFonts w:ascii="Times New Roman" w:hAnsi="Times New Roman" w:cs="Times New Roman"/>
          <w:sz w:val="24"/>
          <w:szCs w:val="24"/>
        </w:rPr>
        <w:t>a principled justification for machine learning over deterministic threshold logic.</w:t>
      </w:r>
      <w:r w:rsidRPr="005360E0">
        <w:rPr>
          <w:rFonts w:ascii="Times New Roman" w:hAnsi="Times New Roman" w:cs="Times New Roman"/>
          <w:sz w:val="24"/>
          <w:szCs w:val="24"/>
        </w:rPr>
        <w:br/>
      </w:r>
      <w:r w:rsidRPr="005360E0">
        <w:rPr>
          <w:rFonts w:ascii="Times New Roman" w:hAnsi="Times New Roman" w:cs="Times New Roman"/>
          <w:sz w:val="24"/>
          <w:szCs w:val="24"/>
        </w:rPr>
        <w:br/>
        <w:t>2</w:t>
      </w:r>
      <w:r w:rsidRPr="00624389">
        <w:rPr>
          <w:rFonts w:ascii="Times New Roman" w:hAnsi="Times New Roman" w:cs="Times New Roman"/>
          <w:sz w:val="24"/>
          <w:szCs w:val="24"/>
          <w:u w:val="single"/>
        </w:rPr>
        <w:t>. CBC-Based Model Interpretation (</w:t>
      </w:r>
      <w:r w:rsidRPr="005001F5">
        <w:rPr>
          <w:rFonts w:ascii="Times New Roman" w:hAnsi="Times New Roman" w:cs="Times New Roman"/>
          <w:b/>
          <w:bCs/>
          <w:sz w:val="24"/>
          <w:szCs w:val="24"/>
          <w:u w:val="single"/>
        </w:rPr>
        <w:t>Multiple Myeloma</w:t>
      </w:r>
      <w:r w:rsidRPr="00624389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14:paraId="24C4C714" w14:textId="1A2D0085" w:rsidR="002460D2" w:rsidRPr="00624389" w:rsidRDefault="00000000" w:rsidP="0096665C">
      <w:pPr>
        <w:rPr>
          <w:rFonts w:ascii="Times New Roman" w:hAnsi="Times New Roman" w:cs="Times New Roman"/>
          <w:sz w:val="24"/>
          <w:szCs w:val="24"/>
          <w:u w:val="single"/>
        </w:rPr>
      </w:pPr>
      <w:r w:rsidRPr="005360E0">
        <w:rPr>
          <w:rFonts w:ascii="Times New Roman" w:hAnsi="Times New Roman" w:cs="Times New Roman"/>
          <w:sz w:val="24"/>
          <w:szCs w:val="24"/>
        </w:rPr>
        <w:br/>
        <w:t>Rule‑Based Baseline Metrics</w:t>
      </w:r>
      <w:r w:rsidRPr="005360E0">
        <w:rPr>
          <w:rFonts w:ascii="Times New Roman" w:hAnsi="Times New Roman" w:cs="Times New Roman"/>
          <w:sz w:val="24"/>
          <w:szCs w:val="24"/>
        </w:rPr>
        <w:br/>
        <w:t>Accuracy: 0.9833</w:t>
      </w:r>
      <w:r w:rsidRPr="005360E0">
        <w:rPr>
          <w:rFonts w:ascii="Times New Roman" w:hAnsi="Times New Roman" w:cs="Times New Roman"/>
          <w:sz w:val="24"/>
          <w:szCs w:val="24"/>
        </w:rPr>
        <w:br/>
        <w:t>Precision: 0.9756</w:t>
      </w:r>
      <w:r w:rsidRPr="005360E0">
        <w:rPr>
          <w:rFonts w:ascii="Times New Roman" w:hAnsi="Times New Roman" w:cs="Times New Roman"/>
          <w:sz w:val="24"/>
          <w:szCs w:val="24"/>
        </w:rPr>
        <w:br/>
        <w:t>Recall: 1.0000</w:t>
      </w:r>
      <w:r w:rsidRPr="005360E0">
        <w:rPr>
          <w:rFonts w:ascii="Times New Roman" w:hAnsi="Times New Roman" w:cs="Times New Roman"/>
          <w:sz w:val="24"/>
          <w:szCs w:val="24"/>
        </w:rPr>
        <w:br/>
        <w:t>F1 Score: 0.9877</w:t>
      </w:r>
      <w:r w:rsidRPr="005360E0">
        <w:rPr>
          <w:rFonts w:ascii="Times New Roman" w:hAnsi="Times New Roman" w:cs="Times New Roman"/>
          <w:sz w:val="24"/>
          <w:szCs w:val="24"/>
        </w:rPr>
        <w:br/>
      </w:r>
      <w:r w:rsidRPr="005360E0">
        <w:rPr>
          <w:rFonts w:ascii="Times New Roman" w:hAnsi="Times New Roman" w:cs="Times New Roman"/>
          <w:sz w:val="24"/>
          <w:szCs w:val="24"/>
        </w:rPr>
        <w:br/>
        <w:t>Machine Learning Model Performance</w:t>
      </w:r>
      <w:r w:rsidRPr="005360E0">
        <w:rPr>
          <w:rFonts w:ascii="Times New Roman" w:hAnsi="Times New Roman" w:cs="Times New Roman"/>
          <w:sz w:val="24"/>
          <w:szCs w:val="24"/>
        </w:rPr>
        <w:br/>
        <w:t>Accuracy: 1.0000</w:t>
      </w:r>
      <w:r w:rsidRPr="005360E0">
        <w:rPr>
          <w:rFonts w:ascii="Times New Roman" w:hAnsi="Times New Roman" w:cs="Times New Roman"/>
          <w:sz w:val="24"/>
          <w:szCs w:val="24"/>
        </w:rPr>
        <w:br/>
      </w:r>
      <w:r w:rsidRPr="005360E0">
        <w:rPr>
          <w:rFonts w:ascii="Times New Roman" w:hAnsi="Times New Roman" w:cs="Times New Roman"/>
          <w:sz w:val="24"/>
          <w:szCs w:val="24"/>
        </w:rPr>
        <w:br/>
        <w:t>Interpretation:</w:t>
      </w:r>
      <w:r w:rsidRPr="005360E0">
        <w:rPr>
          <w:rFonts w:ascii="Times New Roman" w:hAnsi="Times New Roman" w:cs="Times New Roman"/>
          <w:sz w:val="24"/>
          <w:szCs w:val="24"/>
        </w:rPr>
        <w:br/>
      </w:r>
      <w:r w:rsidR="005360E0" w:rsidRPr="005360E0">
        <w:rPr>
          <w:rFonts w:ascii="Times New Roman" w:hAnsi="Times New Roman" w:cs="Times New Roman"/>
          <w:sz w:val="24"/>
          <w:szCs w:val="24"/>
        </w:rPr>
        <w:t>Deterministic rule systems assume independent, linear thresholds across variables, whereas clinical</w:t>
      </w:r>
      <w:r w:rsidR="005360E0">
        <w:rPr>
          <w:rFonts w:ascii="Times New Roman" w:hAnsi="Times New Roman" w:cs="Times New Roman"/>
          <w:sz w:val="24"/>
          <w:szCs w:val="24"/>
        </w:rPr>
        <w:t xml:space="preserve"> </w:t>
      </w:r>
      <w:r w:rsidR="005360E0" w:rsidRPr="005360E0">
        <w:rPr>
          <w:rFonts w:ascii="Times New Roman" w:hAnsi="Times New Roman" w:cs="Times New Roman"/>
          <w:sz w:val="24"/>
          <w:szCs w:val="24"/>
        </w:rPr>
        <w:t>diagnostics depend on multivariate physiological interactions. Machine</w:t>
      </w:r>
      <w:r w:rsidR="005360E0">
        <w:rPr>
          <w:rFonts w:ascii="Times New Roman" w:hAnsi="Times New Roman" w:cs="Times New Roman"/>
          <w:sz w:val="24"/>
          <w:szCs w:val="24"/>
        </w:rPr>
        <w:t xml:space="preserve"> </w:t>
      </w:r>
      <w:r w:rsidR="005360E0" w:rsidRPr="005360E0">
        <w:rPr>
          <w:rFonts w:ascii="Times New Roman" w:hAnsi="Times New Roman" w:cs="Times New Roman"/>
          <w:sz w:val="24"/>
          <w:szCs w:val="24"/>
        </w:rPr>
        <w:t>learning models approximate</w:t>
      </w:r>
      <w:r w:rsidR="005360E0">
        <w:rPr>
          <w:rFonts w:ascii="Times New Roman" w:hAnsi="Times New Roman" w:cs="Times New Roman"/>
          <w:sz w:val="24"/>
          <w:szCs w:val="24"/>
        </w:rPr>
        <w:t xml:space="preserve"> </w:t>
      </w:r>
      <w:r w:rsidR="005360E0" w:rsidRPr="005360E0">
        <w:rPr>
          <w:rFonts w:ascii="Times New Roman" w:hAnsi="Times New Roman" w:cs="Times New Roman"/>
          <w:sz w:val="24"/>
          <w:szCs w:val="24"/>
        </w:rPr>
        <w:t>nonlinear decision boundaries and probabilistic</w:t>
      </w:r>
      <w:r w:rsidR="005360E0">
        <w:rPr>
          <w:rFonts w:ascii="Times New Roman" w:hAnsi="Times New Roman" w:cs="Times New Roman"/>
          <w:sz w:val="24"/>
          <w:szCs w:val="24"/>
        </w:rPr>
        <w:t xml:space="preserve"> </w:t>
      </w:r>
      <w:r w:rsidR="005360E0" w:rsidRPr="005360E0">
        <w:rPr>
          <w:rFonts w:ascii="Times New Roman" w:hAnsi="Times New Roman" w:cs="Times New Roman"/>
          <w:sz w:val="24"/>
          <w:szCs w:val="24"/>
        </w:rPr>
        <w:t>relationships, resulting in improved generalization</w:t>
      </w:r>
      <w:r w:rsidR="005360E0">
        <w:rPr>
          <w:rFonts w:ascii="Times New Roman" w:hAnsi="Times New Roman" w:cs="Times New Roman"/>
          <w:sz w:val="24"/>
          <w:szCs w:val="24"/>
        </w:rPr>
        <w:t xml:space="preserve"> </w:t>
      </w:r>
      <w:r w:rsidR="005360E0" w:rsidRPr="005360E0">
        <w:rPr>
          <w:rFonts w:ascii="Times New Roman" w:hAnsi="Times New Roman" w:cs="Times New Roman"/>
          <w:sz w:val="24"/>
          <w:szCs w:val="24"/>
        </w:rPr>
        <w:t>and reliability.</w:t>
      </w:r>
    </w:p>
    <w:p w14:paraId="74FD1AEE" w14:textId="77777777" w:rsidR="002460D2" w:rsidRDefault="002460D2" w:rsidP="0096665C">
      <w:pPr>
        <w:rPr>
          <w:rFonts w:ascii="Times New Roman" w:hAnsi="Times New Roman" w:cs="Times New Roman"/>
          <w:noProof/>
          <w:sz w:val="24"/>
          <w:szCs w:val="24"/>
        </w:rPr>
      </w:pPr>
    </w:p>
    <w:p w14:paraId="27C81360" w14:textId="77777777" w:rsidR="00624389" w:rsidRDefault="00624389" w:rsidP="0096665C">
      <w:pPr>
        <w:rPr>
          <w:rFonts w:ascii="Times New Roman" w:hAnsi="Times New Roman" w:cs="Times New Roman"/>
          <w:noProof/>
          <w:sz w:val="24"/>
          <w:szCs w:val="24"/>
        </w:rPr>
      </w:pPr>
    </w:p>
    <w:p w14:paraId="648C2514" w14:textId="77777777" w:rsidR="005001F5" w:rsidRDefault="005001F5" w:rsidP="0096665C">
      <w:pPr>
        <w:rPr>
          <w:rFonts w:ascii="Times New Roman" w:hAnsi="Times New Roman" w:cs="Times New Roman"/>
          <w:noProof/>
          <w:sz w:val="24"/>
          <w:szCs w:val="24"/>
        </w:rPr>
      </w:pPr>
    </w:p>
    <w:p w14:paraId="2707FBE2" w14:textId="0A347622" w:rsidR="00624389" w:rsidRDefault="00624389" w:rsidP="0096665C">
      <w:pPr>
        <w:rPr>
          <w:rFonts w:ascii="Times New Roman" w:hAnsi="Times New Roman" w:cs="Times New Roman"/>
          <w:sz w:val="24"/>
          <w:szCs w:val="24"/>
        </w:rPr>
      </w:pPr>
      <w:r w:rsidRPr="005360E0">
        <w:rPr>
          <w:rFonts w:ascii="Times New Roman" w:hAnsi="Times New Roman" w:cs="Times New Roman"/>
          <w:sz w:val="24"/>
          <w:szCs w:val="24"/>
        </w:rPr>
        <w:lastRenderedPageBreak/>
        <w:t>Clinical Parameter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4F7DF3" w14:textId="77777777" w:rsidR="00624389" w:rsidRDefault="00624389" w:rsidP="0096665C">
      <w:pPr>
        <w:rPr>
          <w:rFonts w:ascii="Times New Roman" w:hAnsi="Times New Roman" w:cs="Times New Roman"/>
          <w:noProof/>
          <w:sz w:val="24"/>
          <w:szCs w:val="24"/>
        </w:rPr>
      </w:pPr>
    </w:p>
    <w:tbl>
      <w:tblPr>
        <w:tblpPr w:leftFromText="180" w:rightFromText="180" w:vertAnchor="text" w:horzAnchor="margin" w:tblpY="-4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572"/>
        <w:gridCol w:w="1954"/>
        <w:gridCol w:w="4233"/>
      </w:tblGrid>
      <w:tr w:rsidR="00624389" w:rsidRPr="002460D2" w14:paraId="7798E70A" w14:textId="77777777" w:rsidTr="00624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BFEBE" w14:textId="77777777" w:rsidR="00624389" w:rsidRPr="002460D2" w:rsidRDefault="00624389" w:rsidP="00966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E8AF7E" w14:textId="77777777" w:rsidR="00624389" w:rsidRPr="002460D2" w:rsidRDefault="00624389" w:rsidP="00966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Full Form / Meaning</w:t>
            </w:r>
          </w:p>
        </w:tc>
        <w:tc>
          <w:tcPr>
            <w:tcW w:w="0" w:type="auto"/>
            <w:vAlign w:val="center"/>
            <w:hideMark/>
          </w:tcPr>
          <w:p w14:paraId="6AA140F9" w14:textId="77777777" w:rsidR="00624389" w:rsidRPr="002460D2" w:rsidRDefault="00624389" w:rsidP="00966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Physiological Role</w:t>
            </w:r>
          </w:p>
        </w:tc>
        <w:tc>
          <w:tcPr>
            <w:tcW w:w="0" w:type="auto"/>
            <w:vAlign w:val="center"/>
            <w:hideMark/>
          </w:tcPr>
          <w:p w14:paraId="4746863F" w14:textId="77777777" w:rsidR="00624389" w:rsidRPr="002460D2" w:rsidRDefault="00624389" w:rsidP="00966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Clinical Interpretation</w:t>
            </w:r>
          </w:p>
        </w:tc>
      </w:tr>
      <w:tr w:rsidR="00624389" w:rsidRPr="002460D2" w14:paraId="7D61C3AF" w14:textId="77777777" w:rsidTr="00624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467C3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Hb</w:t>
            </w:r>
          </w:p>
        </w:tc>
        <w:tc>
          <w:tcPr>
            <w:tcW w:w="0" w:type="auto"/>
            <w:vAlign w:val="center"/>
            <w:hideMark/>
          </w:tcPr>
          <w:p w14:paraId="386D8ADE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Hemoglobin</w:t>
            </w:r>
          </w:p>
        </w:tc>
        <w:tc>
          <w:tcPr>
            <w:tcW w:w="0" w:type="auto"/>
            <w:vAlign w:val="center"/>
            <w:hideMark/>
          </w:tcPr>
          <w:p w14:paraId="5D75371F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Measures oxygen-carrying protein concentration</w:t>
            </w:r>
          </w:p>
        </w:tc>
        <w:tc>
          <w:tcPr>
            <w:tcW w:w="0" w:type="auto"/>
            <w:vAlign w:val="center"/>
            <w:hideMark/>
          </w:tcPr>
          <w:p w14:paraId="74D07D3F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Low:</w:t>
            </w: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anemia → abnormal oxygen transport; </w:t>
            </w:r>
            <w:r w:rsidRPr="002460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High:</w:t>
            </w: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possible dehydration/polycythemia</w:t>
            </w:r>
          </w:p>
        </w:tc>
      </w:tr>
      <w:tr w:rsidR="00624389" w:rsidRPr="002460D2" w14:paraId="5399EB79" w14:textId="77777777" w:rsidTr="00624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FCB3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RBC</w:t>
            </w:r>
          </w:p>
        </w:tc>
        <w:tc>
          <w:tcPr>
            <w:tcW w:w="0" w:type="auto"/>
            <w:vAlign w:val="center"/>
            <w:hideMark/>
          </w:tcPr>
          <w:p w14:paraId="639716B2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Red Blood Cell Count</w:t>
            </w:r>
          </w:p>
        </w:tc>
        <w:tc>
          <w:tcPr>
            <w:tcW w:w="0" w:type="auto"/>
            <w:vAlign w:val="center"/>
            <w:hideMark/>
          </w:tcPr>
          <w:p w14:paraId="364EA94B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Indicates number of erythrocytes circulating</w:t>
            </w:r>
          </w:p>
        </w:tc>
        <w:tc>
          <w:tcPr>
            <w:tcW w:w="0" w:type="auto"/>
            <w:vAlign w:val="center"/>
            <w:hideMark/>
          </w:tcPr>
          <w:p w14:paraId="02C17B0A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Low:</w:t>
            </w: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impaired production/destruction → abnormal; </w:t>
            </w:r>
            <w:r w:rsidRPr="002460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High:</w:t>
            </w: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possible compensatory response or disorder</w:t>
            </w:r>
          </w:p>
        </w:tc>
      </w:tr>
      <w:tr w:rsidR="00624389" w:rsidRPr="002460D2" w14:paraId="5E59B28E" w14:textId="77777777" w:rsidTr="00624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6DAE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MCV</w:t>
            </w:r>
          </w:p>
        </w:tc>
        <w:tc>
          <w:tcPr>
            <w:tcW w:w="0" w:type="auto"/>
            <w:vAlign w:val="center"/>
            <w:hideMark/>
          </w:tcPr>
          <w:p w14:paraId="2CDB8C32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Mean Corpuscular Volume</w:t>
            </w:r>
          </w:p>
        </w:tc>
        <w:tc>
          <w:tcPr>
            <w:tcW w:w="0" w:type="auto"/>
            <w:vAlign w:val="center"/>
            <w:hideMark/>
          </w:tcPr>
          <w:p w14:paraId="7D9E27C9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Average size of red blood cells</w:t>
            </w:r>
          </w:p>
        </w:tc>
        <w:tc>
          <w:tcPr>
            <w:tcW w:w="0" w:type="auto"/>
            <w:vAlign w:val="center"/>
            <w:hideMark/>
          </w:tcPr>
          <w:p w14:paraId="3769511E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Low:</w:t>
            </w: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microcytic cells → commonly thalassemia/iron deficiency; </w:t>
            </w:r>
            <w:r w:rsidRPr="002460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High:</w:t>
            </w: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macrocytic cells → B12/folate deficiency or other disorders</w:t>
            </w:r>
          </w:p>
        </w:tc>
      </w:tr>
      <w:tr w:rsidR="00624389" w:rsidRPr="002460D2" w14:paraId="20E1E8EE" w14:textId="77777777" w:rsidTr="00624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D671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MCH</w:t>
            </w:r>
          </w:p>
        </w:tc>
        <w:tc>
          <w:tcPr>
            <w:tcW w:w="0" w:type="auto"/>
            <w:vAlign w:val="center"/>
            <w:hideMark/>
          </w:tcPr>
          <w:p w14:paraId="23E67343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Mean Corpuscular Hemoglobin</w:t>
            </w:r>
          </w:p>
        </w:tc>
        <w:tc>
          <w:tcPr>
            <w:tcW w:w="0" w:type="auto"/>
            <w:vAlign w:val="center"/>
            <w:hideMark/>
          </w:tcPr>
          <w:p w14:paraId="5AE08C62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Hemoglobin quantity per red cell</w:t>
            </w:r>
          </w:p>
        </w:tc>
        <w:tc>
          <w:tcPr>
            <w:tcW w:w="0" w:type="auto"/>
            <w:vAlign w:val="center"/>
            <w:hideMark/>
          </w:tcPr>
          <w:p w14:paraId="73766A88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Low:</w:t>
            </w: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hypochromic cells → reduced oxygen capacity; </w:t>
            </w:r>
            <w:r w:rsidRPr="002460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High:</w:t>
            </w: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atypical composition or macrocytosis</w:t>
            </w:r>
          </w:p>
        </w:tc>
      </w:tr>
      <w:tr w:rsidR="00624389" w:rsidRPr="002460D2" w14:paraId="23487986" w14:textId="77777777" w:rsidTr="00624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C050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Platelets</w:t>
            </w:r>
          </w:p>
        </w:tc>
        <w:tc>
          <w:tcPr>
            <w:tcW w:w="0" w:type="auto"/>
            <w:vAlign w:val="center"/>
            <w:hideMark/>
          </w:tcPr>
          <w:p w14:paraId="5F2B8C56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Platelet Count</w:t>
            </w:r>
          </w:p>
        </w:tc>
        <w:tc>
          <w:tcPr>
            <w:tcW w:w="0" w:type="auto"/>
            <w:vAlign w:val="center"/>
            <w:hideMark/>
          </w:tcPr>
          <w:p w14:paraId="24B39FD4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Reflects clotting potential and marrow activity</w:t>
            </w:r>
          </w:p>
        </w:tc>
        <w:tc>
          <w:tcPr>
            <w:tcW w:w="0" w:type="auto"/>
            <w:vAlign w:val="center"/>
            <w:hideMark/>
          </w:tcPr>
          <w:p w14:paraId="1A0740AA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Low:</w:t>
            </w: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marrow dysfunction or disease; </w:t>
            </w:r>
            <w:r w:rsidRPr="002460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High:</w:t>
            </w: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inflammation, stress, or pathology</w:t>
            </w:r>
          </w:p>
        </w:tc>
      </w:tr>
      <w:tr w:rsidR="00624389" w:rsidRPr="002460D2" w14:paraId="13EC0236" w14:textId="77777777" w:rsidTr="00624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AD343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 Protein</w:t>
            </w:r>
          </w:p>
        </w:tc>
        <w:tc>
          <w:tcPr>
            <w:tcW w:w="0" w:type="auto"/>
            <w:vAlign w:val="center"/>
            <w:hideMark/>
          </w:tcPr>
          <w:p w14:paraId="5337730D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Monoclonal Protein</w:t>
            </w:r>
          </w:p>
        </w:tc>
        <w:tc>
          <w:tcPr>
            <w:tcW w:w="0" w:type="auto"/>
            <w:vAlign w:val="center"/>
            <w:hideMark/>
          </w:tcPr>
          <w:p w14:paraId="11459F07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Abnormal antibody produced by plasma cells</w:t>
            </w:r>
          </w:p>
        </w:tc>
        <w:tc>
          <w:tcPr>
            <w:tcW w:w="0" w:type="auto"/>
            <w:vAlign w:val="center"/>
            <w:hideMark/>
          </w:tcPr>
          <w:p w14:paraId="36F29933" w14:textId="77777777" w:rsidR="00624389" w:rsidRPr="002460D2" w:rsidRDefault="00624389" w:rsidP="009666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60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High:</w:t>
            </w:r>
            <w:r w:rsidRPr="002460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strong indicator of multiple myeloma — dominant diagnostic signal</w:t>
            </w:r>
          </w:p>
        </w:tc>
      </w:tr>
    </w:tbl>
    <w:p w14:paraId="5FA35E33" w14:textId="77777777" w:rsidR="00624389" w:rsidRDefault="00624389" w:rsidP="0096665C">
      <w:pPr>
        <w:rPr>
          <w:rFonts w:ascii="Times New Roman" w:hAnsi="Times New Roman" w:cs="Times New Roman"/>
          <w:noProof/>
          <w:sz w:val="24"/>
          <w:szCs w:val="24"/>
        </w:rPr>
      </w:pPr>
    </w:p>
    <w:p w14:paraId="54C59AF8" w14:textId="77777777" w:rsidR="00624389" w:rsidRDefault="00624389" w:rsidP="0096665C">
      <w:pPr>
        <w:rPr>
          <w:rFonts w:ascii="Times New Roman" w:hAnsi="Times New Roman" w:cs="Times New Roman"/>
          <w:noProof/>
          <w:sz w:val="24"/>
          <w:szCs w:val="24"/>
        </w:rPr>
      </w:pPr>
    </w:p>
    <w:p w14:paraId="44B074F0" w14:textId="77777777" w:rsidR="00624389" w:rsidRDefault="00624389" w:rsidP="0096665C">
      <w:pPr>
        <w:rPr>
          <w:rFonts w:ascii="Times New Roman" w:hAnsi="Times New Roman" w:cs="Times New Roman"/>
          <w:noProof/>
          <w:sz w:val="24"/>
          <w:szCs w:val="24"/>
        </w:rPr>
      </w:pPr>
    </w:p>
    <w:p w14:paraId="7CD08A43" w14:textId="77777777" w:rsidR="00624389" w:rsidRDefault="00624389" w:rsidP="0096665C">
      <w:pPr>
        <w:rPr>
          <w:rFonts w:ascii="Times New Roman" w:hAnsi="Times New Roman" w:cs="Times New Roman"/>
          <w:noProof/>
          <w:sz w:val="24"/>
          <w:szCs w:val="24"/>
        </w:rPr>
      </w:pPr>
    </w:p>
    <w:p w14:paraId="47393DA9" w14:textId="77777777" w:rsidR="00624389" w:rsidRDefault="00624389" w:rsidP="0096665C">
      <w:pPr>
        <w:rPr>
          <w:rFonts w:ascii="Times New Roman" w:hAnsi="Times New Roman" w:cs="Times New Roman"/>
          <w:noProof/>
          <w:sz w:val="24"/>
          <w:szCs w:val="24"/>
        </w:rPr>
      </w:pPr>
    </w:p>
    <w:p w14:paraId="3DB09863" w14:textId="67551CA8" w:rsidR="00624389" w:rsidRDefault="00624389" w:rsidP="0096665C">
      <w:pPr>
        <w:rPr>
          <w:rFonts w:ascii="Times New Roman" w:hAnsi="Times New Roman" w:cs="Times New Roman"/>
          <w:noProof/>
          <w:sz w:val="24"/>
          <w:szCs w:val="24"/>
        </w:rPr>
      </w:pPr>
      <w:r w:rsidRPr="00624389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>CBC Feature Importance Charts: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(for all models used)</w:t>
      </w:r>
    </w:p>
    <w:p w14:paraId="2FAFE353" w14:textId="2D548572" w:rsidR="002460D2" w:rsidRDefault="00624389" w:rsidP="0096665C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4119C2" wp14:editId="4F73539C">
            <wp:extent cx="2786291" cy="1836420"/>
            <wp:effectExtent l="0" t="0" r="0" b="0"/>
            <wp:docPr id="1668041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4182" name="Picture 166804182"/>
                    <pic:cNvPicPr/>
                  </pic:nvPicPr>
                  <pic:blipFill rotWithShape="1">
                    <a:blip r:embed="rId6"/>
                    <a:srcRect l="38889" t="13072" r="24444" b="41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317" cy="1870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9039D0" wp14:editId="199EE5A9">
            <wp:extent cx="2682240" cy="1784798"/>
            <wp:effectExtent l="0" t="0" r="3810" b="6350"/>
            <wp:docPr id="7081339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33935" name="Picture 708133935"/>
                    <pic:cNvPicPr/>
                  </pic:nvPicPr>
                  <pic:blipFill rotWithShape="1">
                    <a:blip r:embed="rId7"/>
                    <a:srcRect l="38750" t="12549" r="24306" b="41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693" cy="1795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98A0C" w14:textId="3A0C2A1B" w:rsidR="002460D2" w:rsidRDefault="00624389" w:rsidP="0096665C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C84F36" wp14:editId="7AB1963E">
            <wp:extent cx="2705100" cy="1803400"/>
            <wp:effectExtent l="0" t="0" r="0" b="6350"/>
            <wp:docPr id="4342050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05003" name="Picture 434205003"/>
                    <pic:cNvPicPr/>
                  </pic:nvPicPr>
                  <pic:blipFill rotWithShape="1">
                    <a:blip r:embed="rId8"/>
                    <a:srcRect l="39167" t="12810" r="24167" b="41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80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B82F83" wp14:editId="578A120D">
            <wp:extent cx="2743200" cy="1784111"/>
            <wp:effectExtent l="0" t="0" r="0" b="6985"/>
            <wp:docPr id="5277900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90014" name="Picture 527790014"/>
                    <pic:cNvPicPr/>
                  </pic:nvPicPr>
                  <pic:blipFill rotWithShape="1">
                    <a:blip r:embed="rId9"/>
                    <a:srcRect l="38889" t="13072" r="24167" b="41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803" cy="1800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A79AB" w14:textId="77777777" w:rsidR="005001F5" w:rsidRDefault="00000000" w:rsidP="0096665C">
      <w:pPr>
        <w:rPr>
          <w:rFonts w:ascii="Times New Roman" w:hAnsi="Times New Roman" w:cs="Times New Roman"/>
          <w:sz w:val="24"/>
          <w:szCs w:val="24"/>
        </w:rPr>
      </w:pPr>
      <w:r w:rsidRPr="005360E0">
        <w:rPr>
          <w:rFonts w:ascii="Times New Roman" w:hAnsi="Times New Roman" w:cs="Times New Roman"/>
          <w:sz w:val="24"/>
          <w:szCs w:val="24"/>
        </w:rPr>
        <w:br/>
      </w:r>
      <w:r w:rsidRPr="005001F5">
        <w:rPr>
          <w:rFonts w:ascii="Times New Roman" w:hAnsi="Times New Roman" w:cs="Times New Roman"/>
          <w:sz w:val="24"/>
          <w:szCs w:val="24"/>
          <w:u w:val="single"/>
        </w:rPr>
        <w:t>Correlation Insights</w:t>
      </w:r>
      <w:r w:rsidRPr="005360E0">
        <w:rPr>
          <w:rFonts w:ascii="Times New Roman" w:hAnsi="Times New Roman" w:cs="Times New Roman"/>
          <w:sz w:val="24"/>
          <w:szCs w:val="24"/>
        </w:rPr>
        <w:t>:</w:t>
      </w:r>
      <w:r w:rsidRPr="005360E0">
        <w:rPr>
          <w:rFonts w:ascii="Times New Roman" w:hAnsi="Times New Roman" w:cs="Times New Roman"/>
          <w:sz w:val="24"/>
          <w:szCs w:val="24"/>
        </w:rPr>
        <w:br/>
        <w:t xml:space="preserve">• Strong coupling between </w:t>
      </w:r>
      <w:r w:rsidRPr="005001F5">
        <w:rPr>
          <w:rFonts w:ascii="Times New Roman" w:hAnsi="Times New Roman" w:cs="Times New Roman"/>
          <w:b/>
          <w:bCs/>
          <w:sz w:val="24"/>
          <w:szCs w:val="24"/>
        </w:rPr>
        <w:t>MCV and MCH</w:t>
      </w:r>
      <w:r w:rsidRPr="005360E0">
        <w:rPr>
          <w:rFonts w:ascii="Times New Roman" w:hAnsi="Times New Roman" w:cs="Times New Roman"/>
          <w:sz w:val="24"/>
          <w:szCs w:val="24"/>
        </w:rPr>
        <w:br/>
        <w:t>• Moderate intra‑index relationships across hematological measures</w:t>
      </w:r>
      <w:r w:rsidRPr="005360E0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5001F5">
        <w:rPr>
          <w:rFonts w:ascii="Times New Roman" w:hAnsi="Times New Roman" w:cs="Times New Roman"/>
          <w:b/>
          <w:bCs/>
          <w:sz w:val="24"/>
          <w:szCs w:val="24"/>
        </w:rPr>
        <w:t>M Protein</w:t>
      </w:r>
      <w:r w:rsidRPr="005360E0">
        <w:rPr>
          <w:rFonts w:ascii="Times New Roman" w:hAnsi="Times New Roman" w:cs="Times New Roman"/>
          <w:sz w:val="24"/>
          <w:szCs w:val="24"/>
        </w:rPr>
        <w:t xml:space="preserve"> exhibits relative independence, acting as primary discriminative signal</w:t>
      </w:r>
      <w:r w:rsidRPr="005360E0">
        <w:rPr>
          <w:rFonts w:ascii="Times New Roman" w:hAnsi="Times New Roman" w:cs="Times New Roman"/>
          <w:sz w:val="24"/>
          <w:szCs w:val="24"/>
        </w:rPr>
        <w:br/>
      </w:r>
      <w:r w:rsidRPr="005360E0">
        <w:rPr>
          <w:rFonts w:ascii="Times New Roman" w:hAnsi="Times New Roman" w:cs="Times New Roman"/>
          <w:sz w:val="24"/>
          <w:szCs w:val="24"/>
        </w:rPr>
        <w:br/>
        <w:t>Out‑of‑Distribution Detection:</w:t>
      </w:r>
      <w:r w:rsidR="005001F5">
        <w:rPr>
          <w:rFonts w:ascii="Times New Roman" w:hAnsi="Times New Roman" w:cs="Times New Roman"/>
          <w:sz w:val="24"/>
          <w:szCs w:val="24"/>
        </w:rPr>
        <w:t xml:space="preserve"> 1/60</w:t>
      </w:r>
      <w:r w:rsidRPr="005360E0">
        <w:rPr>
          <w:rFonts w:ascii="Times New Roman" w:hAnsi="Times New Roman" w:cs="Times New Roman"/>
          <w:sz w:val="24"/>
          <w:szCs w:val="24"/>
        </w:rPr>
        <w:br/>
        <w:t>1 anomalous sample detected among 60 indicates capacity to identify unfamiliar feature space regions.</w:t>
      </w:r>
      <w:r w:rsidRPr="005360E0">
        <w:rPr>
          <w:rFonts w:ascii="Times New Roman" w:hAnsi="Times New Roman" w:cs="Times New Roman"/>
          <w:sz w:val="24"/>
          <w:szCs w:val="24"/>
        </w:rPr>
        <w:br/>
      </w:r>
      <w:r w:rsidRPr="005360E0">
        <w:rPr>
          <w:rFonts w:ascii="Times New Roman" w:hAnsi="Times New Roman" w:cs="Times New Roman"/>
          <w:sz w:val="24"/>
          <w:szCs w:val="24"/>
        </w:rPr>
        <w:br/>
        <w:t>Predictive Uncertainty:</w:t>
      </w:r>
      <w:r w:rsidRPr="005360E0">
        <w:rPr>
          <w:rFonts w:ascii="Times New Roman" w:hAnsi="Times New Roman" w:cs="Times New Roman"/>
          <w:sz w:val="24"/>
          <w:szCs w:val="24"/>
        </w:rPr>
        <w:br/>
        <w:t>STD Threshold: 0.1310</w:t>
      </w:r>
      <w:r w:rsidRPr="005360E0">
        <w:rPr>
          <w:rFonts w:ascii="Times New Roman" w:hAnsi="Times New Roman" w:cs="Times New Roman"/>
          <w:sz w:val="24"/>
          <w:szCs w:val="24"/>
        </w:rPr>
        <w:br/>
        <w:t>Entropy Threshold: 0.3135</w:t>
      </w:r>
      <w:r w:rsidRPr="005360E0">
        <w:rPr>
          <w:rFonts w:ascii="Times New Roman" w:hAnsi="Times New Roman" w:cs="Times New Roman"/>
          <w:sz w:val="24"/>
          <w:szCs w:val="24"/>
        </w:rPr>
        <w:br/>
        <w:t xml:space="preserve">These thresholds operationalize confidence </w:t>
      </w:r>
      <w:r w:rsidR="005001F5">
        <w:rPr>
          <w:rFonts w:ascii="Times New Roman" w:hAnsi="Times New Roman" w:cs="Times New Roman"/>
          <w:sz w:val="24"/>
          <w:szCs w:val="24"/>
        </w:rPr>
        <w:t xml:space="preserve">of the model </w:t>
      </w:r>
      <w:r w:rsidRPr="005360E0">
        <w:rPr>
          <w:rFonts w:ascii="Times New Roman" w:hAnsi="Times New Roman" w:cs="Times New Roman"/>
          <w:sz w:val="24"/>
          <w:szCs w:val="24"/>
        </w:rPr>
        <w:t>gating for downstream decision validation.</w:t>
      </w:r>
      <w:r w:rsidRPr="005360E0">
        <w:rPr>
          <w:rFonts w:ascii="Times New Roman" w:hAnsi="Times New Roman" w:cs="Times New Roman"/>
          <w:sz w:val="24"/>
          <w:szCs w:val="24"/>
        </w:rPr>
        <w:br/>
      </w:r>
      <w:r w:rsidRPr="005360E0">
        <w:rPr>
          <w:rFonts w:ascii="Times New Roman" w:hAnsi="Times New Roman" w:cs="Times New Roman"/>
          <w:sz w:val="24"/>
          <w:szCs w:val="24"/>
        </w:rPr>
        <w:br/>
      </w:r>
    </w:p>
    <w:p w14:paraId="7F115469" w14:textId="77777777" w:rsidR="005001F5" w:rsidRDefault="005001F5" w:rsidP="0096665C">
      <w:pPr>
        <w:rPr>
          <w:rFonts w:ascii="Times New Roman" w:hAnsi="Times New Roman" w:cs="Times New Roman"/>
          <w:sz w:val="24"/>
          <w:szCs w:val="24"/>
        </w:rPr>
      </w:pPr>
    </w:p>
    <w:p w14:paraId="4F996281" w14:textId="77777777" w:rsidR="005001F5" w:rsidRDefault="00000000" w:rsidP="0096665C">
      <w:pPr>
        <w:rPr>
          <w:rFonts w:ascii="Times New Roman" w:hAnsi="Times New Roman" w:cs="Times New Roman"/>
          <w:sz w:val="24"/>
          <w:szCs w:val="24"/>
        </w:rPr>
      </w:pPr>
      <w:r w:rsidRPr="005360E0">
        <w:rPr>
          <w:rFonts w:ascii="Times New Roman" w:hAnsi="Times New Roman" w:cs="Times New Roman"/>
          <w:sz w:val="24"/>
          <w:szCs w:val="24"/>
        </w:rPr>
        <w:lastRenderedPageBreak/>
        <w:t>3. Scatter Morphology Model Interpretation</w:t>
      </w:r>
      <w:r w:rsidR="005001F5">
        <w:rPr>
          <w:rFonts w:ascii="Times New Roman" w:hAnsi="Times New Roman" w:cs="Times New Roman"/>
          <w:sz w:val="24"/>
          <w:szCs w:val="24"/>
        </w:rPr>
        <w:t xml:space="preserve"> (</w:t>
      </w:r>
      <w:r w:rsidR="005001F5">
        <w:rPr>
          <w:rFonts w:ascii="Times New Roman" w:hAnsi="Times New Roman" w:cs="Times New Roman"/>
          <w:b/>
          <w:bCs/>
          <w:sz w:val="24"/>
          <w:szCs w:val="24"/>
        </w:rPr>
        <w:t>Multiple Myeloma 2</w:t>
      </w:r>
      <w:r w:rsidR="005001F5" w:rsidRPr="005001F5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nd</w:t>
      </w:r>
      <w:r w:rsidR="005001F5">
        <w:rPr>
          <w:rFonts w:ascii="Times New Roman" w:hAnsi="Times New Roman" w:cs="Times New Roman"/>
          <w:b/>
          <w:bCs/>
          <w:sz w:val="24"/>
          <w:szCs w:val="24"/>
        </w:rPr>
        <w:t xml:space="preserve"> dataset of scatter plot values</w:t>
      </w:r>
      <w:r w:rsidR="005001F5">
        <w:rPr>
          <w:rFonts w:ascii="Times New Roman" w:hAnsi="Times New Roman" w:cs="Times New Roman"/>
          <w:sz w:val="24"/>
          <w:szCs w:val="24"/>
        </w:rPr>
        <w:t>)</w:t>
      </w:r>
      <w:r w:rsidRPr="005360E0">
        <w:rPr>
          <w:rFonts w:ascii="Times New Roman" w:hAnsi="Times New Roman" w:cs="Times New Roman"/>
          <w:sz w:val="24"/>
          <w:szCs w:val="24"/>
        </w:rPr>
        <w:br/>
      </w:r>
      <w:r w:rsidRPr="005360E0">
        <w:rPr>
          <w:rFonts w:ascii="Times New Roman" w:hAnsi="Times New Roman" w:cs="Times New Roman"/>
          <w:sz w:val="24"/>
          <w:szCs w:val="24"/>
        </w:rPr>
        <w:br/>
        <w:t>Rule‑Based Accuracy: 0.4667</w:t>
      </w:r>
      <w:r w:rsidRPr="005360E0">
        <w:rPr>
          <w:rFonts w:ascii="Times New Roman" w:hAnsi="Times New Roman" w:cs="Times New Roman"/>
          <w:sz w:val="24"/>
          <w:szCs w:val="24"/>
        </w:rPr>
        <w:br/>
        <w:t>Machine Learning Accuracy: ≈ 0.97–0.98</w:t>
      </w:r>
      <w:r w:rsidRPr="005360E0">
        <w:rPr>
          <w:rFonts w:ascii="Times New Roman" w:hAnsi="Times New Roman" w:cs="Times New Roman"/>
          <w:sz w:val="24"/>
          <w:szCs w:val="24"/>
        </w:rPr>
        <w:br/>
      </w:r>
      <w:r w:rsidRPr="005360E0">
        <w:rPr>
          <w:rFonts w:ascii="Times New Roman" w:hAnsi="Times New Roman" w:cs="Times New Roman"/>
          <w:sz w:val="24"/>
          <w:szCs w:val="24"/>
        </w:rPr>
        <w:br/>
        <w:t>Interpretation:</w:t>
      </w:r>
      <w:r w:rsidRPr="005360E0">
        <w:rPr>
          <w:rFonts w:ascii="Times New Roman" w:hAnsi="Times New Roman" w:cs="Times New Roman"/>
          <w:sz w:val="24"/>
          <w:szCs w:val="24"/>
        </w:rPr>
        <w:br/>
        <w:t>Threshold logic fails due to geometric nonlinear separability inherent to spatial morphology</w:t>
      </w:r>
      <w:r w:rsidR="005001F5">
        <w:rPr>
          <w:rFonts w:ascii="Times New Roman" w:hAnsi="Times New Roman" w:cs="Times New Roman"/>
          <w:sz w:val="24"/>
          <w:szCs w:val="24"/>
        </w:rPr>
        <w:t xml:space="preserve"> </w:t>
      </w:r>
      <w:r w:rsidRPr="005360E0">
        <w:rPr>
          <w:rFonts w:ascii="Times New Roman" w:hAnsi="Times New Roman" w:cs="Times New Roman"/>
          <w:sz w:val="24"/>
          <w:szCs w:val="24"/>
        </w:rPr>
        <w:t>features. Machine learning models capture curvature in decision surfaces and feature interactions,</w:t>
      </w:r>
      <w:r w:rsidR="005001F5">
        <w:rPr>
          <w:rFonts w:ascii="Times New Roman" w:hAnsi="Times New Roman" w:cs="Times New Roman"/>
          <w:sz w:val="24"/>
          <w:szCs w:val="24"/>
        </w:rPr>
        <w:t xml:space="preserve"> </w:t>
      </w:r>
      <w:r w:rsidRPr="005360E0">
        <w:rPr>
          <w:rFonts w:ascii="Times New Roman" w:hAnsi="Times New Roman" w:cs="Times New Roman"/>
          <w:sz w:val="24"/>
          <w:szCs w:val="24"/>
        </w:rPr>
        <w:t>producing substantial performance gains.</w:t>
      </w:r>
      <w:r w:rsidRPr="005360E0">
        <w:rPr>
          <w:rFonts w:ascii="Times New Roman" w:hAnsi="Times New Roman" w:cs="Times New Roman"/>
          <w:sz w:val="24"/>
          <w:szCs w:val="24"/>
        </w:rPr>
        <w:br/>
      </w:r>
      <w:r w:rsidR="006243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A5272E" wp14:editId="38DD0E6A">
            <wp:extent cx="2651982" cy="1764665"/>
            <wp:effectExtent l="0" t="0" r="0" b="6985"/>
            <wp:docPr id="54777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77821" name="Picture 547777821"/>
                    <pic:cNvPicPr/>
                  </pic:nvPicPr>
                  <pic:blipFill rotWithShape="1">
                    <a:blip r:embed="rId10"/>
                    <a:srcRect l="38888" t="13072" r="24167" b="40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616" cy="1776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243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5E1895" wp14:editId="72E1EB6F">
            <wp:extent cx="2802940" cy="1844040"/>
            <wp:effectExtent l="0" t="0" r="0" b="3810"/>
            <wp:docPr id="1166451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51976" name="Picture 1166451976"/>
                    <pic:cNvPicPr/>
                  </pic:nvPicPr>
                  <pic:blipFill rotWithShape="1">
                    <a:blip r:embed="rId11"/>
                    <a:srcRect l="38611" t="13072" r="24444" b="41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318" cy="1852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243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5C2EE3" wp14:editId="0E7FC430">
            <wp:extent cx="2697480" cy="1798320"/>
            <wp:effectExtent l="0" t="0" r="7620" b="0"/>
            <wp:docPr id="1990467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67611" name="Picture 1990467611"/>
                    <pic:cNvPicPr/>
                  </pic:nvPicPr>
                  <pic:blipFill rotWithShape="1">
                    <a:blip r:embed="rId12"/>
                    <a:srcRect l="38889" t="13072" r="24444" b="40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79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360E0">
        <w:rPr>
          <w:rFonts w:ascii="Times New Roman" w:hAnsi="Times New Roman" w:cs="Times New Roman"/>
          <w:sz w:val="24"/>
          <w:szCs w:val="24"/>
        </w:rPr>
        <w:br/>
        <w:t>Conclusion:</w:t>
      </w:r>
      <w:r w:rsidRPr="005360E0">
        <w:rPr>
          <w:rFonts w:ascii="Times New Roman" w:hAnsi="Times New Roman" w:cs="Times New Roman"/>
          <w:sz w:val="24"/>
          <w:szCs w:val="24"/>
        </w:rPr>
        <w:br/>
        <w:t>Morphological classification tasks exhibit high structural complexity requiring adaptive modelling.</w:t>
      </w:r>
      <w:r w:rsidRPr="005360E0">
        <w:rPr>
          <w:rFonts w:ascii="Times New Roman" w:hAnsi="Times New Roman" w:cs="Times New Roman"/>
          <w:sz w:val="24"/>
          <w:szCs w:val="24"/>
        </w:rPr>
        <w:br/>
      </w:r>
      <w:r w:rsidRPr="005360E0">
        <w:rPr>
          <w:rFonts w:ascii="Times New Roman" w:hAnsi="Times New Roman" w:cs="Times New Roman"/>
          <w:sz w:val="24"/>
          <w:szCs w:val="24"/>
        </w:rPr>
        <w:br/>
      </w:r>
      <w:r w:rsidRPr="005360E0">
        <w:rPr>
          <w:rFonts w:ascii="Times New Roman" w:hAnsi="Times New Roman" w:cs="Times New Roman"/>
          <w:sz w:val="24"/>
          <w:szCs w:val="24"/>
        </w:rPr>
        <w:br/>
        <w:t xml:space="preserve">4. </w:t>
      </w:r>
      <w:r w:rsidRPr="005001F5">
        <w:rPr>
          <w:rFonts w:ascii="Times New Roman" w:hAnsi="Times New Roman" w:cs="Times New Roman"/>
          <w:sz w:val="24"/>
          <w:szCs w:val="24"/>
          <w:u w:val="single"/>
        </w:rPr>
        <w:t xml:space="preserve">HPLC </w:t>
      </w:r>
      <w:r w:rsidR="005001F5" w:rsidRPr="005001F5">
        <w:rPr>
          <w:rFonts w:ascii="Times New Roman" w:hAnsi="Times New Roman" w:cs="Times New Roman"/>
          <w:sz w:val="24"/>
          <w:szCs w:val="24"/>
          <w:u w:val="single"/>
        </w:rPr>
        <w:t>Dataset (</w:t>
      </w:r>
      <w:r w:rsidR="005001F5" w:rsidRPr="005001F5">
        <w:rPr>
          <w:rFonts w:ascii="Times New Roman" w:hAnsi="Times New Roman" w:cs="Times New Roman"/>
          <w:b/>
          <w:bCs/>
          <w:sz w:val="24"/>
          <w:szCs w:val="24"/>
          <w:u w:val="single"/>
        </w:rPr>
        <w:t>Thalassemia detection</w:t>
      </w:r>
      <w:r w:rsidR="005001F5" w:rsidRPr="005001F5">
        <w:rPr>
          <w:rFonts w:ascii="Times New Roman" w:hAnsi="Times New Roman" w:cs="Times New Roman"/>
          <w:sz w:val="24"/>
          <w:szCs w:val="24"/>
          <w:u w:val="single"/>
        </w:rPr>
        <w:t>):</w:t>
      </w:r>
      <w:r w:rsidRPr="005360E0">
        <w:rPr>
          <w:rFonts w:ascii="Times New Roman" w:hAnsi="Times New Roman" w:cs="Times New Roman"/>
          <w:sz w:val="24"/>
          <w:szCs w:val="24"/>
        </w:rPr>
        <w:br/>
      </w:r>
      <w:r w:rsidRPr="005360E0">
        <w:rPr>
          <w:rFonts w:ascii="Times New Roman" w:hAnsi="Times New Roman" w:cs="Times New Roman"/>
          <w:sz w:val="24"/>
          <w:szCs w:val="24"/>
        </w:rPr>
        <w:br/>
        <w:t>Rule‑Based Accuracy: 0.2267</w:t>
      </w:r>
      <w:r w:rsidRPr="005360E0">
        <w:rPr>
          <w:rFonts w:ascii="Times New Roman" w:hAnsi="Times New Roman" w:cs="Times New Roman"/>
          <w:sz w:val="24"/>
          <w:szCs w:val="24"/>
        </w:rPr>
        <w:br/>
        <w:t>Machine Learning Accuracy: ≈ 99%</w:t>
      </w:r>
      <w:r w:rsidRPr="005360E0">
        <w:rPr>
          <w:rFonts w:ascii="Times New Roman" w:hAnsi="Times New Roman" w:cs="Times New Roman"/>
          <w:sz w:val="24"/>
          <w:szCs w:val="24"/>
        </w:rPr>
        <w:br/>
      </w:r>
      <w:r w:rsidRPr="005360E0">
        <w:rPr>
          <w:rFonts w:ascii="Times New Roman" w:hAnsi="Times New Roman" w:cs="Times New Roman"/>
          <w:sz w:val="24"/>
          <w:szCs w:val="24"/>
        </w:rPr>
        <w:br/>
        <w:t>Interpretation:</w:t>
      </w:r>
      <w:r w:rsidRPr="005360E0">
        <w:rPr>
          <w:rFonts w:ascii="Times New Roman" w:hAnsi="Times New Roman" w:cs="Times New Roman"/>
          <w:sz w:val="24"/>
          <w:szCs w:val="24"/>
        </w:rPr>
        <w:br/>
        <w:t>Hemoglobin fraction dynamics represent nonlinear biochemical interactions beyond</w:t>
      </w:r>
      <w:r w:rsidR="005001F5">
        <w:rPr>
          <w:rFonts w:ascii="Times New Roman" w:hAnsi="Times New Roman" w:cs="Times New Roman"/>
          <w:sz w:val="24"/>
          <w:szCs w:val="24"/>
        </w:rPr>
        <w:t xml:space="preserve"> </w:t>
      </w:r>
      <w:r w:rsidRPr="005360E0">
        <w:rPr>
          <w:rFonts w:ascii="Times New Roman" w:hAnsi="Times New Roman" w:cs="Times New Roman"/>
          <w:sz w:val="24"/>
          <w:szCs w:val="24"/>
        </w:rPr>
        <w:lastRenderedPageBreak/>
        <w:t>deterministic</w:t>
      </w:r>
      <w:r w:rsidR="005001F5">
        <w:rPr>
          <w:rFonts w:ascii="Times New Roman" w:hAnsi="Times New Roman" w:cs="Times New Roman"/>
          <w:sz w:val="24"/>
          <w:szCs w:val="24"/>
        </w:rPr>
        <w:t xml:space="preserve"> </w:t>
      </w:r>
      <w:r w:rsidRPr="005360E0">
        <w:rPr>
          <w:rFonts w:ascii="Times New Roman" w:hAnsi="Times New Roman" w:cs="Times New Roman"/>
          <w:sz w:val="24"/>
          <w:szCs w:val="24"/>
        </w:rPr>
        <w:t>threshold capability. Ensemble models capture compositional relationships</w:t>
      </w:r>
      <w:r w:rsidR="005001F5">
        <w:rPr>
          <w:rFonts w:ascii="Times New Roman" w:hAnsi="Times New Roman" w:cs="Times New Roman"/>
          <w:sz w:val="24"/>
          <w:szCs w:val="24"/>
        </w:rPr>
        <w:t xml:space="preserve"> </w:t>
      </w:r>
      <w:r w:rsidRPr="005360E0">
        <w:rPr>
          <w:rFonts w:ascii="Times New Roman" w:hAnsi="Times New Roman" w:cs="Times New Roman"/>
          <w:sz w:val="24"/>
          <w:szCs w:val="24"/>
        </w:rPr>
        <w:t>among fractions and</w:t>
      </w:r>
      <w:r w:rsidR="005001F5">
        <w:rPr>
          <w:rFonts w:ascii="Times New Roman" w:hAnsi="Times New Roman" w:cs="Times New Roman"/>
          <w:sz w:val="24"/>
          <w:szCs w:val="24"/>
        </w:rPr>
        <w:t xml:space="preserve"> </w:t>
      </w:r>
      <w:r w:rsidRPr="005360E0">
        <w:rPr>
          <w:rFonts w:ascii="Times New Roman" w:hAnsi="Times New Roman" w:cs="Times New Roman"/>
          <w:sz w:val="24"/>
          <w:szCs w:val="24"/>
        </w:rPr>
        <w:t>morphological indices.</w:t>
      </w:r>
    </w:p>
    <w:p w14:paraId="570BCB6F" w14:textId="77777777" w:rsidR="005001F5" w:rsidRDefault="005001F5" w:rsidP="00966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D646D6" wp14:editId="45EFEB58">
            <wp:extent cx="5166360" cy="3161234"/>
            <wp:effectExtent l="0" t="0" r="0" b="1270"/>
            <wp:docPr id="341415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15541" name="Picture 341415541"/>
                    <pic:cNvPicPr/>
                  </pic:nvPicPr>
                  <pic:blipFill rotWithShape="1">
                    <a:blip r:embed="rId13"/>
                    <a:srcRect l="43055" t="13333" r="17222" b="40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503" cy="3187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1856A" w14:textId="77777777" w:rsidR="005001F5" w:rsidRDefault="005001F5" w:rsidP="0096665C">
      <w:pPr>
        <w:rPr>
          <w:rFonts w:ascii="Times New Roman" w:hAnsi="Times New Roman" w:cs="Times New Roman"/>
          <w:noProof/>
          <w:sz w:val="24"/>
          <w:szCs w:val="24"/>
        </w:rPr>
      </w:pPr>
    </w:p>
    <w:p w14:paraId="744E73C6" w14:textId="77777777" w:rsidR="005001F5" w:rsidRDefault="005001F5" w:rsidP="00966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935976" wp14:editId="299FDBA3">
            <wp:extent cx="5059625" cy="3550920"/>
            <wp:effectExtent l="0" t="0" r="8255" b="0"/>
            <wp:docPr id="16881786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78662" name="Picture 1688178662"/>
                    <pic:cNvPicPr/>
                  </pic:nvPicPr>
                  <pic:blipFill rotWithShape="1">
                    <a:blip r:embed="rId14"/>
                    <a:srcRect l="39444" t="13072" r="13472" b="24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756" cy="3560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5360E0">
        <w:rPr>
          <w:rFonts w:ascii="Times New Roman" w:hAnsi="Times New Roman" w:cs="Times New Roman"/>
          <w:sz w:val="24"/>
          <w:szCs w:val="24"/>
        </w:rPr>
        <w:br/>
      </w:r>
      <w:r w:rsidR="00000000" w:rsidRPr="005360E0">
        <w:rPr>
          <w:rFonts w:ascii="Times New Roman" w:hAnsi="Times New Roman" w:cs="Times New Roman"/>
          <w:sz w:val="24"/>
          <w:szCs w:val="24"/>
        </w:rPr>
        <w:br/>
      </w:r>
    </w:p>
    <w:p w14:paraId="0746A078" w14:textId="4380EA8B" w:rsidR="005001F5" w:rsidRDefault="005001F5" w:rsidP="00966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Insights: </w:t>
      </w:r>
    </w:p>
    <w:p w14:paraId="2B073BE4" w14:textId="33957217" w:rsidR="005001F5" w:rsidRDefault="00000000" w:rsidP="0096665C">
      <w:pPr>
        <w:rPr>
          <w:rFonts w:ascii="Times New Roman" w:hAnsi="Times New Roman" w:cs="Times New Roman"/>
          <w:sz w:val="24"/>
          <w:szCs w:val="24"/>
        </w:rPr>
      </w:pPr>
      <w:r w:rsidRPr="005360E0">
        <w:rPr>
          <w:rFonts w:ascii="Times New Roman" w:hAnsi="Times New Roman" w:cs="Times New Roman"/>
          <w:sz w:val="24"/>
          <w:szCs w:val="24"/>
        </w:rPr>
        <w:t>Primary Influential Variables:</w:t>
      </w:r>
      <w:r w:rsidR="005001F5">
        <w:rPr>
          <w:rFonts w:ascii="Times New Roman" w:hAnsi="Times New Roman" w:cs="Times New Roman"/>
          <w:sz w:val="24"/>
          <w:szCs w:val="24"/>
        </w:rPr>
        <w:t xml:space="preserve"> </w:t>
      </w:r>
      <w:r w:rsidRPr="005360E0">
        <w:rPr>
          <w:rFonts w:ascii="Times New Roman" w:hAnsi="Times New Roman" w:cs="Times New Roman"/>
          <w:sz w:val="24"/>
          <w:szCs w:val="24"/>
        </w:rPr>
        <w:t>HbA2 and HbA0</w:t>
      </w:r>
    </w:p>
    <w:p w14:paraId="4FFE0106" w14:textId="5E7A19A5" w:rsidR="0096665C" w:rsidRDefault="00000000" w:rsidP="0096665C">
      <w:pPr>
        <w:rPr>
          <w:rFonts w:ascii="Times New Roman" w:hAnsi="Times New Roman" w:cs="Times New Roman"/>
          <w:sz w:val="24"/>
          <w:szCs w:val="24"/>
        </w:rPr>
      </w:pPr>
      <w:r w:rsidRPr="005360E0">
        <w:rPr>
          <w:rFonts w:ascii="Times New Roman" w:hAnsi="Times New Roman" w:cs="Times New Roman"/>
          <w:sz w:val="24"/>
          <w:szCs w:val="24"/>
        </w:rPr>
        <w:t>Secondary Contributions:</w:t>
      </w:r>
      <w:r w:rsidR="005001F5">
        <w:rPr>
          <w:rFonts w:ascii="Times New Roman" w:hAnsi="Times New Roman" w:cs="Times New Roman"/>
          <w:sz w:val="24"/>
          <w:szCs w:val="24"/>
        </w:rPr>
        <w:t xml:space="preserve"> </w:t>
      </w:r>
      <w:r w:rsidRPr="005360E0">
        <w:rPr>
          <w:rFonts w:ascii="Times New Roman" w:hAnsi="Times New Roman" w:cs="Times New Roman"/>
          <w:sz w:val="24"/>
          <w:szCs w:val="24"/>
        </w:rPr>
        <w:t>MCV, MCH, HbF</w:t>
      </w:r>
      <w:r w:rsidRPr="005360E0">
        <w:rPr>
          <w:rFonts w:ascii="Times New Roman" w:hAnsi="Times New Roman" w:cs="Times New Roman"/>
          <w:sz w:val="24"/>
          <w:szCs w:val="24"/>
        </w:rPr>
        <w:br/>
      </w:r>
      <w:r w:rsidRPr="005360E0">
        <w:rPr>
          <w:rFonts w:ascii="Times New Roman" w:hAnsi="Times New Roman" w:cs="Times New Roman"/>
          <w:sz w:val="24"/>
          <w:szCs w:val="24"/>
        </w:rPr>
        <w:br/>
        <w:t>Correlation Structure Insights</w:t>
      </w:r>
      <w:r w:rsidR="0096665C">
        <w:rPr>
          <w:rFonts w:ascii="Times New Roman" w:hAnsi="Times New Roman" w:cs="Times New Roman"/>
          <w:sz w:val="24"/>
          <w:szCs w:val="24"/>
        </w:rPr>
        <w:t>:</w:t>
      </w:r>
    </w:p>
    <w:p w14:paraId="2C20F509" w14:textId="77777777" w:rsidR="0096665C" w:rsidRDefault="00000000" w:rsidP="0096665C">
      <w:pPr>
        <w:rPr>
          <w:rFonts w:ascii="Times New Roman" w:hAnsi="Times New Roman" w:cs="Times New Roman"/>
          <w:sz w:val="24"/>
          <w:szCs w:val="24"/>
        </w:rPr>
      </w:pPr>
      <w:r w:rsidRPr="005360E0">
        <w:rPr>
          <w:rFonts w:ascii="Times New Roman" w:hAnsi="Times New Roman" w:cs="Times New Roman"/>
          <w:sz w:val="24"/>
          <w:szCs w:val="24"/>
        </w:rPr>
        <w:t>Positive Coupling:</w:t>
      </w:r>
      <w:r w:rsidR="0096665C">
        <w:rPr>
          <w:rFonts w:ascii="Times New Roman" w:hAnsi="Times New Roman" w:cs="Times New Roman"/>
          <w:sz w:val="24"/>
          <w:szCs w:val="24"/>
        </w:rPr>
        <w:t xml:space="preserve"> Directly proportional</w:t>
      </w:r>
      <w:r w:rsidRPr="005360E0">
        <w:rPr>
          <w:rFonts w:ascii="Times New Roman" w:hAnsi="Times New Roman" w:cs="Times New Roman"/>
          <w:sz w:val="24"/>
          <w:szCs w:val="24"/>
        </w:rPr>
        <w:br/>
        <w:t>RBC ↔ HB ↔ MCV ↔ MCH</w:t>
      </w:r>
      <w:r w:rsidRPr="005360E0">
        <w:rPr>
          <w:rFonts w:ascii="Times New Roman" w:hAnsi="Times New Roman" w:cs="Times New Roman"/>
          <w:sz w:val="24"/>
          <w:szCs w:val="24"/>
        </w:rPr>
        <w:br/>
        <w:t>Reflects shared physiological measurement domain</w:t>
      </w:r>
      <w:r w:rsidRPr="005360E0">
        <w:rPr>
          <w:rFonts w:ascii="Times New Roman" w:hAnsi="Times New Roman" w:cs="Times New Roman"/>
          <w:sz w:val="24"/>
          <w:szCs w:val="24"/>
        </w:rPr>
        <w:br/>
      </w:r>
      <w:r w:rsidRPr="005360E0">
        <w:rPr>
          <w:rFonts w:ascii="Times New Roman" w:hAnsi="Times New Roman" w:cs="Times New Roman"/>
          <w:sz w:val="24"/>
          <w:szCs w:val="24"/>
        </w:rPr>
        <w:br/>
        <w:t>Moderate Association:</w:t>
      </w:r>
      <w:r w:rsidRPr="005360E0">
        <w:rPr>
          <w:rFonts w:ascii="Times New Roman" w:hAnsi="Times New Roman" w:cs="Times New Roman"/>
          <w:sz w:val="24"/>
          <w:szCs w:val="24"/>
        </w:rPr>
        <w:br/>
        <w:t>HbF ↔ RDWcv</w:t>
      </w:r>
      <w:r w:rsidR="0096665C">
        <w:rPr>
          <w:rFonts w:ascii="Times New Roman" w:hAnsi="Times New Roman" w:cs="Times New Roman"/>
          <w:sz w:val="24"/>
          <w:szCs w:val="24"/>
        </w:rPr>
        <w:t xml:space="preserve"> </w:t>
      </w:r>
      <w:r w:rsidRPr="005360E0">
        <w:rPr>
          <w:rFonts w:ascii="Times New Roman" w:hAnsi="Times New Roman" w:cs="Times New Roman"/>
          <w:sz w:val="24"/>
          <w:szCs w:val="24"/>
        </w:rPr>
        <w:t>Indicates linkage between hemoglobin variation and cell heterogeneity</w:t>
      </w:r>
      <w:r w:rsidRPr="005360E0">
        <w:rPr>
          <w:rFonts w:ascii="Times New Roman" w:hAnsi="Times New Roman" w:cs="Times New Roman"/>
          <w:sz w:val="24"/>
          <w:szCs w:val="24"/>
        </w:rPr>
        <w:br/>
      </w:r>
      <w:r w:rsidRPr="005360E0">
        <w:rPr>
          <w:rFonts w:ascii="Times New Roman" w:hAnsi="Times New Roman" w:cs="Times New Roman"/>
          <w:sz w:val="24"/>
          <w:szCs w:val="24"/>
        </w:rPr>
        <w:br/>
        <w:t>Negative Compensation:</w:t>
      </w:r>
      <w:r w:rsidR="0096665C">
        <w:rPr>
          <w:rFonts w:ascii="Times New Roman" w:hAnsi="Times New Roman" w:cs="Times New Roman"/>
          <w:sz w:val="24"/>
          <w:szCs w:val="24"/>
        </w:rPr>
        <w:t xml:space="preserve"> Inversely proportional</w:t>
      </w:r>
    </w:p>
    <w:p w14:paraId="403D05FC" w14:textId="5CA4F45A" w:rsidR="00832D1C" w:rsidRPr="005360E0" w:rsidRDefault="00000000" w:rsidP="0096665C">
      <w:pPr>
        <w:rPr>
          <w:rFonts w:ascii="Times New Roman" w:hAnsi="Times New Roman" w:cs="Times New Roman"/>
          <w:sz w:val="24"/>
          <w:szCs w:val="24"/>
        </w:rPr>
      </w:pPr>
      <w:r w:rsidRPr="005360E0">
        <w:rPr>
          <w:rFonts w:ascii="Times New Roman" w:hAnsi="Times New Roman" w:cs="Times New Roman"/>
          <w:sz w:val="24"/>
          <w:szCs w:val="24"/>
        </w:rPr>
        <w:t>HbA0 ↔ HbA2</w:t>
      </w:r>
      <w:r w:rsidRPr="005360E0">
        <w:rPr>
          <w:rFonts w:ascii="Times New Roman" w:hAnsi="Times New Roman" w:cs="Times New Roman"/>
          <w:sz w:val="24"/>
          <w:szCs w:val="24"/>
        </w:rPr>
        <w:br/>
        <w:t>Represents biochemical substitution dynamics</w:t>
      </w:r>
      <w:r w:rsidRPr="005360E0">
        <w:rPr>
          <w:rFonts w:ascii="Times New Roman" w:hAnsi="Times New Roman" w:cs="Times New Roman"/>
          <w:sz w:val="24"/>
          <w:szCs w:val="24"/>
        </w:rPr>
        <w:br/>
      </w:r>
      <w:r w:rsidRPr="005360E0">
        <w:rPr>
          <w:rFonts w:ascii="Times New Roman" w:hAnsi="Times New Roman" w:cs="Times New Roman"/>
          <w:sz w:val="24"/>
          <w:szCs w:val="24"/>
        </w:rPr>
        <w:br/>
        <w:t>Interpretation:</w:t>
      </w:r>
      <w:r w:rsidRPr="005360E0">
        <w:rPr>
          <w:rFonts w:ascii="Times New Roman" w:hAnsi="Times New Roman" w:cs="Times New Roman"/>
          <w:sz w:val="24"/>
          <w:szCs w:val="24"/>
        </w:rPr>
        <w:br/>
        <w:t>The observed relationships validate biological plausibility and confirm absence of spurious</w:t>
      </w:r>
      <w:r w:rsidR="0096665C">
        <w:rPr>
          <w:rFonts w:ascii="Times New Roman" w:hAnsi="Times New Roman" w:cs="Times New Roman"/>
          <w:sz w:val="24"/>
          <w:szCs w:val="24"/>
        </w:rPr>
        <w:t xml:space="preserve"> </w:t>
      </w:r>
      <w:r w:rsidRPr="005360E0">
        <w:rPr>
          <w:rFonts w:ascii="Times New Roman" w:hAnsi="Times New Roman" w:cs="Times New Roman"/>
          <w:sz w:val="24"/>
          <w:szCs w:val="24"/>
        </w:rPr>
        <w:t>data structure artefacts.</w:t>
      </w:r>
      <w:r w:rsidRPr="005360E0">
        <w:rPr>
          <w:rFonts w:ascii="Times New Roman" w:hAnsi="Times New Roman" w:cs="Times New Roman"/>
          <w:sz w:val="24"/>
          <w:szCs w:val="24"/>
        </w:rPr>
        <w:br/>
      </w:r>
      <w:r w:rsidRPr="005360E0">
        <w:rPr>
          <w:rFonts w:ascii="Times New Roman" w:hAnsi="Times New Roman" w:cs="Times New Roman"/>
          <w:sz w:val="24"/>
          <w:szCs w:val="24"/>
        </w:rPr>
        <w:br/>
        <w:t>Overall Conclusion:</w:t>
      </w:r>
      <w:r w:rsidRPr="005360E0">
        <w:rPr>
          <w:rFonts w:ascii="Times New Roman" w:hAnsi="Times New Roman" w:cs="Times New Roman"/>
          <w:sz w:val="24"/>
          <w:szCs w:val="24"/>
        </w:rPr>
        <w:br/>
        <w:t>Across modalities, machine learning consistently improves diagnostic reliability while</w:t>
      </w:r>
      <w:r w:rsidRPr="005360E0">
        <w:rPr>
          <w:rFonts w:ascii="Times New Roman" w:hAnsi="Times New Roman" w:cs="Times New Roman"/>
          <w:sz w:val="24"/>
          <w:szCs w:val="24"/>
        </w:rPr>
        <w:br/>
        <w:t>white‑box interpretability confirms alignment with domain‑consistent physiological patterns.</w:t>
      </w:r>
      <w:r w:rsidRPr="005360E0">
        <w:rPr>
          <w:rFonts w:ascii="Times New Roman" w:hAnsi="Times New Roman" w:cs="Times New Roman"/>
          <w:sz w:val="24"/>
          <w:szCs w:val="24"/>
        </w:rPr>
        <w:br/>
      </w:r>
    </w:p>
    <w:sectPr w:rsidR="00832D1C" w:rsidRPr="005360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744160">
    <w:abstractNumId w:val="8"/>
  </w:num>
  <w:num w:numId="2" w16cid:durableId="1963028748">
    <w:abstractNumId w:val="6"/>
  </w:num>
  <w:num w:numId="3" w16cid:durableId="312490095">
    <w:abstractNumId w:val="5"/>
  </w:num>
  <w:num w:numId="4" w16cid:durableId="955403520">
    <w:abstractNumId w:val="4"/>
  </w:num>
  <w:num w:numId="5" w16cid:durableId="1739938502">
    <w:abstractNumId w:val="7"/>
  </w:num>
  <w:num w:numId="6" w16cid:durableId="1175456330">
    <w:abstractNumId w:val="3"/>
  </w:num>
  <w:num w:numId="7" w16cid:durableId="734856033">
    <w:abstractNumId w:val="2"/>
  </w:num>
  <w:num w:numId="8" w16cid:durableId="2081249821">
    <w:abstractNumId w:val="1"/>
  </w:num>
  <w:num w:numId="9" w16cid:durableId="247925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6D5"/>
    <w:rsid w:val="002460D2"/>
    <w:rsid w:val="0029639D"/>
    <w:rsid w:val="00326F90"/>
    <w:rsid w:val="005001F5"/>
    <w:rsid w:val="005360E0"/>
    <w:rsid w:val="00624389"/>
    <w:rsid w:val="00832D1C"/>
    <w:rsid w:val="0096665C"/>
    <w:rsid w:val="00AA1D8D"/>
    <w:rsid w:val="00B47730"/>
    <w:rsid w:val="00CB0664"/>
    <w:rsid w:val="00CD49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49A093"/>
  <w14:defaultImageDpi w14:val="300"/>
  <w15:docId w15:val="{BC187972-F532-4212-9E16-D5773C88F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Jeshtha Bari</cp:lastModifiedBy>
  <cp:revision>2</cp:revision>
  <dcterms:created xsi:type="dcterms:W3CDTF">2013-12-23T23:15:00Z</dcterms:created>
  <dcterms:modified xsi:type="dcterms:W3CDTF">2026-02-11T15:29:00Z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98f1ee4b-1a5d-42bd-b9a0-0bd6f061122a</vt:lpwstr>
  </property>
</Properties>
</file>