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Indicadores para evaluar la implementación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Definir KPI de implementación con fórmulas, poblaciones y acciones de revisión que permitan interpretar el desempeño.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Ejemplo hipotético: de veinte solicitudes cuyo plazo de respuesta ya es evaluable, dieciocho recibieron respuesta útil dentro de cuarenta y ocho horas. El cumplimiento es 90 %. Otras dos solicitudes recién abiertas aún no tienen el plazo vencido y no deben mezclarse sin una regla explícita. En otro grupo de cincuenta casos completados, cuatro requieren corrección: la tasa de corrección es 8 %, una dimensión distinta de calidad.</w:t>
      </w:r>
    </w:p>
    <w:p>
      <w:pPr>
        <w:pStyle w:val="Heading1"/>
      </w:pPr>
      <w:r>
        <w:t>1. Analizar — 5 puntos</w:t>
      </w:r>
    </w:p>
    <w:p>
      <w:r>
        <w:t>Elabora fichas de un KPI de tiempo y otro de calidad con todos sus campos.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Calcula cumplimiento y corrección con los denominadores del ejemplo.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Define reglas para casos abiertos, duplicados y eventos faltantes.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Propón meta contextual, frecuencia, responsable y respuesta ante desviación.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Procesos para Negocios Digitales, unidad 4, tema 4.2.</w:t>
        <w:br/>
        <w:t>Dumas et al. (2018), Fundamentals of Business Process Management. Weske (2012), Business Process Management: Concepts, Languages, Architectures.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PROCESOS PARA NEGOCIOS DIGITALES / 4.2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Indicadores para evaluar la implementación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