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Estudio de caso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Integrar diagnóstico, modelado, rediseño y KPI en un estudio de caso BPM con datos simulados y conclusiones limitadas a la evidencia.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Ejemplo de enseñanza: en el período inicial, ochenta casos duran treinta horas y veinte duran ochenta; el promedio es cuarenta. En el futuro simulado, noventa y cinco duran veinte y cinco duran cien; el promedio es veinticuatro. Los casos con corrección son doce y cinco, respectivamente. Los archivos de apoyo permiten repetir los cálculos y revisar por qué la mejora global convive con excepciones más tardías.</w:t>
      </w:r>
    </w:p>
    <w:p>
      <w:pPr>
        <w:pStyle w:val="Heading1"/>
      </w:pPr>
      <w:r>
        <w:t>1. Analizar — 5 puntos</w:t>
      </w:r>
    </w:p>
    <w:p>
      <w:r>
        <w:t>Delimita el proceso y representa estado actual y futuro con responsabilidades.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Relaciona problemas, hipótesis de causa, cambio propuesto y evidencia necesaria.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Calcula promedio, corrección y cumplimiento usando el CSV de apoyo y muestra fórmulas.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Redacta una conclusión con mejoras agregadas, excepciones, límites causales y próximo ciclo de revisión.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4, tema 4.4.</w:t>
        <w:br/>
        <w:t>Dumas et al. (2018), Fundamentals of Business Process Management. OMG, BPMN 2.0.2. Conjunto de datos sintético propio incluido en Recursos/.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4.4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Estudio de caso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