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Internacionalización de los negocios electrónicos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Evaluar la entrada de un negocio electrónico a otro mercado considerando demanda, adaptación y operación transfronteriza.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hipotético: Minga Cacao considera vender una caja en otro país por cuarenta dólares. El costo del producto es dieciocho, la logística doce y las comisiones tres, antes de publicidad, impuestos u otros gastos. Quedan siete dólares para cubrir esas partidas y resultado. Antes de lanzar, debe comprobar si el destino admite el producto, qué condiciones aplican y cómo resolver devoluciones.</w:t>
      </w:r>
    </w:p>
    <w:p>
      <w:pPr>
        <w:pStyle w:val="Heading1"/>
      </w:pPr>
      <w:r>
        <w:t>1. Analizar — 5 puntos</w:t>
      </w:r>
    </w:p>
    <w:p>
      <w:r>
        <w:t>Compara dos destinos ficticios con demanda, competencia y restricciones explícitas.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Propón adaptaciones de idioma, moneda, pago y atención con pruebas de comprensión.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Calcula la contribución del caso y enumera los costos excluidos.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Diseña un piloto con criterios de margen, entrega, devolución y decisión de continuidad.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4, tema 4.1.</w:t>
        <w:br/>
        <w:t>OECD (2016), Consumer Protection in E-commerce. WTO: https://www.wto.org/ . Revisar requisitos oficiales del producto y destino antes de operar.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Internacionalización de los negocios electrónicos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